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ESTUDIO Y ANALISIS ECONOMICO DEL SECTOR  </w:t>
      </w:r>
    </w:p>
    <w:p w:rsidR="00000000" w:rsidDel="00000000" w:rsidP="00000000" w:rsidRDefault="00000000" w:rsidRPr="00000000" w14:paraId="00000002">
      <w:pPr>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03">
      <w:pPr>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(CAPITULO VI - Artículo 2.2.1.1.1.6.1. Del Decreto 1082 de 2015)</w:t>
      </w:r>
      <w:r w:rsidDel="00000000" w:rsidR="00000000" w:rsidRPr="00000000">
        <w:rPr>
          <w:rtl w:val="0"/>
        </w:rPr>
      </w:r>
    </w:p>
    <w:p w:rsidR="00000000" w:rsidDel="00000000" w:rsidP="00000000" w:rsidRDefault="00000000" w:rsidRPr="00000000" w14:paraId="00000004">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5">
      <w:pPr>
        <w:ind w:right="79"/>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cumplimiento del Art. 2.2.1.1.1.6.1 del Decreto 1082 de 2015, que establece el “</w:t>
      </w:r>
      <w:r w:rsidDel="00000000" w:rsidR="00000000" w:rsidRPr="00000000">
        <w:rPr>
          <w:rFonts w:ascii="Arial" w:cs="Arial" w:eastAsia="Arial" w:hAnsi="Arial"/>
          <w:i w:val="1"/>
          <w:color w:val="000000"/>
          <w:sz w:val="22"/>
          <w:szCs w:val="22"/>
          <w:rtl w:val="0"/>
        </w:rPr>
        <w:t xml:space="preserve">deber de análisis de la Entidades Estatales. La Entidad Estatal debe hacer durante la etapa de planeación el análisis necesario para conocer el sector relativo al objeto del Proceso de Contratación desde la perspectiva legal, comercial, financiera, organizaciones, técnica y de Análisis de Riesgo. La Entidad debe dejar constancia de este análisis en los Documentos del Proceso</w:t>
      </w:r>
      <w:r w:rsidDel="00000000" w:rsidR="00000000" w:rsidRPr="00000000">
        <w:rPr>
          <w:rFonts w:ascii="Arial" w:cs="Arial" w:eastAsia="Arial" w:hAnsi="Arial"/>
          <w:color w:val="000000"/>
          <w:sz w:val="22"/>
          <w:szCs w:val="22"/>
          <w:rtl w:val="0"/>
        </w:rPr>
        <w:t xml:space="preserve">”, acorde con lo establecido en la “</w:t>
      </w:r>
      <w:r w:rsidDel="00000000" w:rsidR="00000000" w:rsidRPr="00000000">
        <w:rPr>
          <w:rFonts w:ascii="Arial" w:cs="Arial" w:eastAsia="Arial" w:hAnsi="Arial"/>
          <w:i w:val="1"/>
          <w:color w:val="000000"/>
          <w:sz w:val="22"/>
          <w:szCs w:val="22"/>
          <w:rtl w:val="0"/>
        </w:rPr>
        <w:t xml:space="preserve">Guía para la Elaboración del Estudio de Sector</w:t>
      </w:r>
      <w:r w:rsidDel="00000000" w:rsidR="00000000" w:rsidRPr="00000000">
        <w:rPr>
          <w:rFonts w:ascii="Arial" w:cs="Arial" w:eastAsia="Arial" w:hAnsi="Arial"/>
          <w:color w:val="000000"/>
          <w:sz w:val="22"/>
          <w:szCs w:val="22"/>
          <w:rtl w:val="0"/>
        </w:rPr>
        <w:t xml:space="preserve">” expedida por Colombia Compra Eficiente, el SENA efectúo análisis del sector teniendo en cuenta que el alcance del estudio de sector debe ser proporcionado al valor del proceso de contratación, la naturaleza del objeto a contratar, el tipo de contrato y a los Riesgos identificados para el Proceso de Contratación.</w:t>
      </w:r>
    </w:p>
    <w:p w:rsidR="00000000" w:rsidDel="00000000" w:rsidP="00000000" w:rsidRDefault="00000000" w:rsidRPr="00000000" w14:paraId="00000006">
      <w:pPr>
        <w:ind w:right="79"/>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07">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cumplimiento de lo anterior la entidad estatal debe revisar los aspectos generales del mercado del bien, obra o servicio que sean relevantes en el Proceso de Contratación. Para el efecto, Colombia Compra Eficiente recomienda analizar, entre otros, los siguientes contextos, los cuales pueden tener un alcance local, regional, nacional o internacional, dependiendo del Proceso de Contratación. </w:t>
      </w:r>
    </w:p>
    <w:p w:rsidR="00000000" w:rsidDel="00000000" w:rsidP="00000000" w:rsidRDefault="00000000" w:rsidRPr="00000000" w14:paraId="00000008">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09">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 conformidad con el Artículo 2.2.1.1.1.6.1 del Decreto 1082 de 2015, el Centro Agropecuario La Granja Sena - Espinal presenta a continuación el estudio del sector desde la perspectiva legal, comercial, financiera, organizacional, técnica y de análisis de riesgos, relativo al objeto de la presente contratación:</w:t>
      </w:r>
    </w:p>
    <w:p w:rsidR="00000000" w:rsidDel="00000000" w:rsidP="00000000" w:rsidRDefault="00000000" w:rsidRPr="00000000" w14:paraId="0000000A">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0B">
      <w:pPr>
        <w:spacing w:after="120" w:lineRule="auto"/>
        <w:jc w:val="both"/>
        <w:rPr>
          <w:rFonts w:ascii="Arial" w:cs="Arial" w:eastAsia="Arial" w:hAnsi="Arial"/>
          <w:b w:val="1"/>
        </w:rPr>
      </w:pPr>
      <w:r w:rsidDel="00000000" w:rsidR="00000000" w:rsidRPr="00000000">
        <w:rPr>
          <w:rFonts w:ascii="Arial" w:cs="Arial" w:eastAsia="Arial" w:hAnsi="Arial"/>
          <w:sz w:val="22"/>
          <w:szCs w:val="22"/>
          <w:rtl w:val="0"/>
        </w:rPr>
        <w:t xml:space="preserve">Objeto</w:t>
      </w:r>
      <w:r w:rsidDel="00000000" w:rsidR="00000000" w:rsidRPr="00000000">
        <w:rPr>
          <w:rFonts w:ascii="Arial" w:cs="Arial" w:eastAsia="Arial" w:hAnsi="Arial"/>
          <w:b w:val="1"/>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b w:val="1"/>
          <w:sz w:val="22"/>
          <w:szCs w:val="22"/>
          <w:rtl w:val="0"/>
        </w:rPr>
        <w:t xml:space="preserve">“CONTRATAR LA FUMIGACIÓN, CONTROL DE ROEDORES PLAGAS Y VECTORES, DEL CENTRO AGROPECUARIO LA GRANJA 2025”</w:t>
      </w:r>
      <w:r w:rsidDel="00000000" w:rsidR="00000000" w:rsidRPr="00000000">
        <w:rPr>
          <w:rFonts w:ascii="Arial" w:cs="Arial" w:eastAsia="Arial" w:hAnsi="Arial"/>
          <w:b w:val="1"/>
          <w:rtl w:val="0"/>
        </w:rPr>
        <w:t xml:space="preserve">.</w:t>
      </w:r>
    </w:p>
    <w:p w:rsidR="00000000" w:rsidDel="00000000" w:rsidP="00000000" w:rsidRDefault="00000000" w:rsidRPr="00000000" w14:paraId="0000000C">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DESCRIPCION DE LA NECESIDAD</w:t>
      </w:r>
    </w:p>
    <w:p w:rsidR="00000000" w:rsidDel="00000000" w:rsidP="00000000" w:rsidRDefault="00000000" w:rsidRPr="00000000" w14:paraId="0000000E">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Servicio Nacional de Aprendizaje - SENA, es un establecimiento público del orden nacional adscrito al Ministerio del Trabajo, encargado de cumplir la función que corresponde al Estado de invertir en el desarrollo social y técnico de los trabajadores colombianos, ofreciendo y ejecutando la formación profesional integral, para la incorporación y el desarrollo de las personas en actividades productivas que contribuyan al desarrollo social, </w:t>
      </w:r>
    </w:p>
    <w:p w:rsidR="00000000" w:rsidDel="00000000" w:rsidP="00000000" w:rsidRDefault="00000000" w:rsidRPr="00000000" w14:paraId="0000000F">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SENA ofrece formación gratuita a millones de colombianos que se benefician con programas técnicos, tecnológicos y complementarios que, enfocados en el desarrollo económico, tecnológico y social del país, entran a las actividades productivas de las empresas y de la industria, para obtener mejor competitividad y producción con los mercados globalizados.</w:t>
      </w:r>
    </w:p>
    <w:p w:rsidR="00000000" w:rsidDel="00000000" w:rsidP="00000000" w:rsidRDefault="00000000" w:rsidRPr="00000000" w14:paraId="00000010">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1">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Institución está facultada por el Estado para la inversión en infraestructura necesaria para mejorar el desarrollo social y técnico de los trabajadores en las diferentes regiones, a través de formación profesional integral que logra incorporarse con las metas del Gobierno Nacional, mediante el cubrimiento de las necesidades específicas de recurso humano en las empresas, a través de la vinculación al mercado laboral, bien sea como empleado o subempleado, con grandes oportunidades para el desarrollo empresarial, comunitario y tecnológico.</w:t>
      </w:r>
    </w:p>
    <w:p w:rsidR="00000000" w:rsidDel="00000000" w:rsidP="00000000" w:rsidRDefault="00000000" w:rsidRPr="00000000" w14:paraId="00000012">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3">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Entidad más querida por los colombianos funciona en permanente alianza con el Gobierno, empresarios, trabajadores, productores, desde su creación, con el firme propósito de lograr la competitividad de Colombia a través del incremento de la productividad en las empresas, sin dejar a un lado la inclusión social, en articulación con la política nacional: Más empleo y menos pobreza. Por tal razón, se generan continuamente programas, proyectos de responsabilidad social, empresarial, formación, innovación, desarrollo tecnológico, internacionalización y transferencia de conocimientos.</w:t>
      </w:r>
    </w:p>
    <w:p w:rsidR="00000000" w:rsidDel="00000000" w:rsidP="00000000" w:rsidRDefault="00000000" w:rsidRPr="00000000" w14:paraId="00000014">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5">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"SENA", para promover e impulsar el desarrollo y prosperidad del país, se alinea a los parámetros formulados en su Plan de Desarrollo, en el cual se plantean cinco estrategias transversales enfocadas a la infraestructura y competitividad, movilidad social, transformación del campo y crecimiento verde, consolidación del Estado Social de Derecho y un buen gobierno. Con lo anterior se busca avanzar hacia la construcción de un país en paz, equitativo y educado, donde hace un aporte muy importante en este proceso. En consecuencia, del plan de desarrollo nacional, el SENA ejecuta su plan estratégico, donde busca el mejoramiento de la calidad, con cobertura y pertinencia. Además de lo anterior, guía sus acciones a través del sistema integrado de gestión.</w:t>
      </w:r>
    </w:p>
    <w:p w:rsidR="00000000" w:rsidDel="00000000" w:rsidP="00000000" w:rsidRDefault="00000000" w:rsidRPr="00000000" w14:paraId="00000016">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7">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Decreto No. 249 de 2004, "Por el cual se modifica la estructura del Servicio Nacional de Aprendizaje, SENA." En sus Artículos 27, 28 a saber: Artículo 27: establece como funciones de los Centros de Formación "11. Garantizar que la formación profesional integral del Centro constituya un proceso educativo teórico-práctico de carácter integral, orientado al desarrollo de conocimientos técnicos, tecnológicos y de actitudes y valores para la convivencia social y el emprendimiento que le permitan a la persona actuar crítica y creativamente en el mundo del trabajo y de la vida". Artículo 28: Administrar y ejecutar los procesos de contratación, provisión, manejo, mantenimiento, seguimiento y control del talento humano de los recursos físicos, tecnológicos, pedagógicos. Humanos, financieros y de información del Centro.</w:t>
      </w:r>
    </w:p>
    <w:p w:rsidR="00000000" w:rsidDel="00000000" w:rsidP="00000000" w:rsidRDefault="00000000" w:rsidRPr="00000000" w14:paraId="00000018">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9">
      <w:pPr>
        <w:jc w:val="both"/>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El Centro Agropecuario "La Granja" del SENA Regional Tolima,</w:t>
      </w:r>
      <w:r w:rsidDel="00000000" w:rsidR="00000000" w:rsidRPr="00000000">
        <w:rPr>
          <w:rtl w:val="0"/>
        </w:rPr>
        <w:t xml:space="preserve"> </w:t>
      </w:r>
      <w:r w:rsidDel="00000000" w:rsidR="00000000" w:rsidRPr="00000000">
        <w:rPr>
          <w:rFonts w:ascii="Arial" w:cs="Arial" w:eastAsia="Arial" w:hAnsi="Arial"/>
          <w:color w:val="000000"/>
          <w:sz w:val="22"/>
          <w:szCs w:val="22"/>
          <w:rtl w:val="0"/>
        </w:rPr>
        <w:t xml:space="preserve">cuenta con una Sede Principal ubicada en el Municipio de El Espinal - vereda Dindalito, donde concurre gran cantidad de personal, entre ellos aprendices, instructores, personal administrativo y personal que a diario visita sus instalaciones, los cuales deben ser protegidos en su salud. en busca de brindar una formación profesional integral de calidad y bienestar a través de proporcionar condiciones óptimas de seguridad que permitan el mejoramiento de la calidad de vida de estos, contando para ello con diversas instalaciones como ambientes de formación, áreas administrativas, complejo agroindustrial, cocinas, casino, laboratorios, entre otros, además de extensos ambientes de naturaleza donde se ubican las distintas unidades productivas agrícolas y pecuarias para el desarrollo de los diferentes programas de formación, las cuales requieren continuo control, operación y manejo de fumigación de roedores, plagas y vectores que demandan actividades de desinfección y control de plagas que eviten o minimicen la presencia de cucarachas, hormigas, pulgas, ácaros, alacranes, arañas, temitas, roedores, entre otros que se puedan presentar en sus instalaciones. Para ello se presenta la necesidad de: </w:t>
      </w:r>
      <w:r w:rsidDel="00000000" w:rsidR="00000000" w:rsidRPr="00000000">
        <w:rPr>
          <w:rFonts w:ascii="Arial" w:cs="Arial" w:eastAsia="Arial" w:hAnsi="Arial"/>
          <w:b w:val="1"/>
          <w:color w:val="000000"/>
          <w:sz w:val="22"/>
          <w:szCs w:val="22"/>
          <w:rtl w:val="0"/>
        </w:rPr>
        <w:t xml:space="preserve">“</w:t>
      </w:r>
      <w:r w:rsidDel="00000000" w:rsidR="00000000" w:rsidRPr="00000000">
        <w:rPr>
          <w:rFonts w:ascii="Arial" w:cs="Arial" w:eastAsia="Arial" w:hAnsi="Arial"/>
          <w:b w:val="1"/>
          <w:sz w:val="22"/>
          <w:szCs w:val="22"/>
          <w:rtl w:val="0"/>
        </w:rPr>
        <w:t xml:space="preserve">CONTRATAR LA FUMIGACIÓN, CONTROL DE ROEDORES PLAGAS Y VECTORES, DEL CENTRO AGROPECUARIO LA GRANJA 2025</w:t>
      </w:r>
      <w:r w:rsidDel="00000000" w:rsidR="00000000" w:rsidRPr="00000000">
        <w:rPr>
          <w:rFonts w:ascii="Arial" w:cs="Arial" w:eastAsia="Arial" w:hAnsi="Arial"/>
          <w:b w:val="1"/>
          <w:color w:val="000000"/>
          <w:sz w:val="22"/>
          <w:szCs w:val="22"/>
          <w:rtl w:val="0"/>
        </w:rPr>
        <w:t xml:space="preserve">”.</w:t>
      </w:r>
    </w:p>
    <w:p w:rsidR="00000000" w:rsidDel="00000000" w:rsidP="00000000" w:rsidRDefault="00000000" w:rsidRPr="00000000" w14:paraId="0000001A">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B">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 acuerdo con lo anterior, se debe evitar la presencia de insectos y roedores que generan riesgos biológicos, químicos y físicos que afectan tanto a la comunidad educativa, como a las materias primas utilizadas en los diferentes espacios de formación; entre los que se cuentan, talleres, cafetería, cocinas, zonas verdes, ambientes de formación, pasillos, baños, entre otros. El Centro Agropecuario La Granja requiere garantizar el buen estado sanitario de todas las instalaciones, velando por el bienestar de los aprendices, funcionarios, contratistas y personas visitantes, protegiéndolas de las diferentes plagas transmisoras de enfermedades que constituyen un riesgo para la comunidad educativa, sumado a esto el Centro de formación cuenta con áreas de preparación y/o trasformación de alimentos en los talleres de agroindustria, cafetería y casino, en los cuales se debe garantizar procesos de asepsia y desinfección permanente.</w:t>
      </w:r>
    </w:p>
    <w:p w:rsidR="00000000" w:rsidDel="00000000" w:rsidP="00000000" w:rsidRDefault="00000000" w:rsidRPr="00000000" w14:paraId="0000001C">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D">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Los agentes patógenos transmitidos por vectores o quien tiene huéspedes intermediarios se encuentran entre las principales causas de enfermedad y muerte entre muchos países tropicales y subtropicales. </w:t>
      </w:r>
    </w:p>
    <w:p w:rsidR="00000000" w:rsidDel="00000000" w:rsidP="00000000" w:rsidRDefault="00000000" w:rsidRPr="00000000" w14:paraId="0000001E">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F">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Algunas especies de plagas son vectores y trasmisores de agentes infecciosos no solo por lo que consumen y destruyen, sino también por lo que contaminan con saliva, orina, materias fecales y la suciedad que llevan adherida al cuerpo causando enfermedades como Etas, fiebres y otras más que causan daño o deterioro en la salud de las personas, materias primas o productos terminados, las cuales ocasionan pérdidas económicas y daños irreparables.</w:t>
      </w:r>
    </w:p>
    <w:p w:rsidR="00000000" w:rsidDel="00000000" w:rsidP="00000000" w:rsidRDefault="00000000" w:rsidRPr="00000000" w14:paraId="00000020">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w:t>
      </w:r>
    </w:p>
    <w:p w:rsidR="00000000" w:rsidDel="00000000" w:rsidP="00000000" w:rsidRDefault="00000000" w:rsidRPr="00000000" w14:paraId="00000021">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virtud de lo anterior, El Centro Agropecuario La Granja, debe ejecutar acciones tendientes a lograr el correcto mantenimiento de las condiciones ambientales, de higiene y salubridad de la comunidad educativa. </w:t>
      </w:r>
    </w:p>
    <w:p w:rsidR="00000000" w:rsidDel="00000000" w:rsidP="00000000" w:rsidRDefault="00000000" w:rsidRPr="00000000" w14:paraId="00000022">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23">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garantizar el cumplimiento del Programa de Gestión Ambiental y Seguridad Higiene en el Centro de formación, se hace necesario, desarrollar actividades de prevención en el manejo de plagas y roedores con el servicio de Fumigación, desinfección y control integrado de plagas, insectos, microorganismos y roedores, atendiendo las diferentes necesidades que demandan cada una de las dependencias en cumplimiento de sus objetivos misionales con mantenimientos programados para evitar problemas ambientales y con la salubridad de  Aprendices, Funcionarios, Contratistas y Visitantes. </w:t>
      </w:r>
    </w:p>
    <w:p w:rsidR="00000000" w:rsidDel="00000000" w:rsidP="00000000" w:rsidRDefault="00000000" w:rsidRPr="00000000" w14:paraId="00000024">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25">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Revisado el recurso humano del que se dispone para atender este tipo de servicio, el Centro Agropecuario La Granja El Espinal, del Servicio Nacional de Aprendizaje SENA Regional Tolima, no cuenta con personal de planta suficiente e idónea que desempeñe estas actividades.</w:t>
      </w:r>
    </w:p>
    <w:p w:rsidR="00000000" w:rsidDel="00000000" w:rsidP="00000000" w:rsidRDefault="00000000" w:rsidRPr="00000000" w14:paraId="00000026">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27">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Atendiendo lo anteriormente expuesto y para dar cumplimiento, y teniendo en cuenta que el Centro de Formación no cuenta con los equipos y el personal necesario para suplir íntegramente la necesidad, lo más conveniente, es adelantar un proceso de contratación bajo la modalidad que defina la Oficina de Contratación de acuerdo a las fuentes presupuestales y al procedimiento fijado por la Ley 1474 de 2011, desarrollado por el artículo 2.2.1.2.1.2.20 del Decreto Reglamentario 1082 de 2015, para lo cual el Centro tiene incluida la necesidad contractual dentro del Plan Anual de Adquisiciones para la vigencia 2025 y cuenta con la disponibilidad de recursos presupuestales en la presente vigencia.</w:t>
      </w:r>
    </w:p>
    <w:p w:rsidR="00000000" w:rsidDel="00000000" w:rsidP="00000000" w:rsidRDefault="00000000" w:rsidRPr="00000000" w14:paraId="00000028">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29">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2A">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CLASIFICADOR DE BIENES Y SERVICIOS (UNSPSC) PARA LA PRESENTE CONTRATACIÓN</w:t>
      </w:r>
    </w:p>
    <w:p w:rsidR="00000000" w:rsidDel="00000000" w:rsidP="00000000" w:rsidRDefault="00000000" w:rsidRPr="00000000" w14:paraId="0000002B">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Dentro de la gestión de las acciones relacionadas con la fumigación, control de roedores plagas y vectores, es importante considerar las actividades de aplicación de nebulizadora en áreas cerradas y abiertas de acuerdo con las necesidades del control de plagas, con la finalidad de prestar un servicio optimo, seguro, eficiente y coherente con la normatividad vigente.</w:t>
      </w:r>
    </w:p>
    <w:p w:rsidR="00000000" w:rsidDel="00000000" w:rsidP="00000000" w:rsidRDefault="00000000" w:rsidRPr="00000000" w14:paraId="0000002C">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2D">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Razón por la cual se relacionan las especificaciones técnicas del objeto a contratar de acuerdo con los siguientes códigos del Clasificador de Bienes y Servicios:</w:t>
      </w:r>
    </w:p>
    <w:p w:rsidR="00000000" w:rsidDel="00000000" w:rsidP="00000000" w:rsidRDefault="00000000" w:rsidRPr="00000000" w14:paraId="0000002E">
      <w:pPr>
        <w:jc w:val="center"/>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2F">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UNSPSC- Decreto 1082 de 2015 </w:t>
      </w:r>
    </w:p>
    <w:tbl>
      <w:tblPr>
        <w:tblStyle w:val="Table1"/>
        <w:tblW w:w="873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90"/>
        <w:gridCol w:w="1190"/>
        <w:gridCol w:w="1190"/>
        <w:gridCol w:w="1590"/>
        <w:gridCol w:w="3174"/>
        <w:tblGridChange w:id="0">
          <w:tblGrid>
            <w:gridCol w:w="1590"/>
            <w:gridCol w:w="1190"/>
            <w:gridCol w:w="1190"/>
            <w:gridCol w:w="1590"/>
            <w:gridCol w:w="3174"/>
          </w:tblGrid>
        </w:tblGridChange>
      </w:tblGrid>
      <w:tr>
        <w:trPr>
          <w:cantSplit w:val="0"/>
          <w:trHeight w:val="100" w:hRule="atLeast"/>
          <w:tblHeader w:val="0"/>
        </w:trPr>
        <w:tc>
          <w:tcPr>
            <w:shd w:fill="acb9ca" w:val="clear"/>
            <w:vAlign w:val="center"/>
          </w:tcPr>
          <w:p w:rsidR="00000000" w:rsidDel="00000000" w:rsidP="00000000" w:rsidRDefault="00000000" w:rsidRPr="00000000" w14:paraId="00000030">
            <w:pPr>
              <w:jc w:val="center"/>
              <w:rPr>
                <w:rFonts w:ascii="Arial" w:cs="Arial" w:eastAsia="Arial" w:hAnsi="Arial"/>
                <w:b w:val="1"/>
              </w:rPr>
            </w:pPr>
            <w:r w:rsidDel="00000000" w:rsidR="00000000" w:rsidRPr="00000000">
              <w:rPr>
                <w:rFonts w:ascii="Arial" w:cs="Arial" w:eastAsia="Arial" w:hAnsi="Arial"/>
                <w:b w:val="1"/>
                <w:rtl w:val="0"/>
              </w:rPr>
              <w:t xml:space="preserve">SEGMENTO</w:t>
            </w:r>
          </w:p>
        </w:tc>
        <w:tc>
          <w:tcPr>
            <w:shd w:fill="acb9ca" w:val="clear"/>
            <w:vAlign w:val="center"/>
          </w:tcPr>
          <w:p w:rsidR="00000000" w:rsidDel="00000000" w:rsidP="00000000" w:rsidRDefault="00000000" w:rsidRPr="00000000" w14:paraId="00000031">
            <w:pPr>
              <w:jc w:val="center"/>
              <w:rPr>
                <w:rFonts w:ascii="Arial" w:cs="Arial" w:eastAsia="Arial" w:hAnsi="Arial"/>
                <w:b w:val="1"/>
              </w:rPr>
            </w:pPr>
            <w:r w:rsidDel="00000000" w:rsidR="00000000" w:rsidRPr="00000000">
              <w:rPr>
                <w:rFonts w:ascii="Arial" w:cs="Arial" w:eastAsia="Arial" w:hAnsi="Arial"/>
                <w:b w:val="1"/>
                <w:rtl w:val="0"/>
              </w:rPr>
              <w:t xml:space="preserve">FAMILIA</w:t>
            </w:r>
          </w:p>
        </w:tc>
        <w:tc>
          <w:tcPr>
            <w:shd w:fill="acb9ca" w:val="clear"/>
            <w:vAlign w:val="center"/>
          </w:tcPr>
          <w:p w:rsidR="00000000" w:rsidDel="00000000" w:rsidP="00000000" w:rsidRDefault="00000000" w:rsidRPr="00000000" w14:paraId="00000032">
            <w:pPr>
              <w:jc w:val="center"/>
              <w:rPr>
                <w:rFonts w:ascii="Arial" w:cs="Arial" w:eastAsia="Arial" w:hAnsi="Arial"/>
                <w:b w:val="1"/>
              </w:rPr>
            </w:pPr>
            <w:r w:rsidDel="00000000" w:rsidR="00000000" w:rsidRPr="00000000">
              <w:rPr>
                <w:rFonts w:ascii="Arial" w:cs="Arial" w:eastAsia="Arial" w:hAnsi="Arial"/>
                <w:b w:val="1"/>
                <w:rtl w:val="0"/>
              </w:rPr>
              <w:t xml:space="preserve">CLASES</w:t>
            </w:r>
          </w:p>
        </w:tc>
        <w:tc>
          <w:tcPr>
            <w:shd w:fill="acb9ca" w:val="clear"/>
          </w:tcPr>
          <w:p w:rsidR="00000000" w:rsidDel="00000000" w:rsidP="00000000" w:rsidRDefault="00000000" w:rsidRPr="00000000" w14:paraId="00000033">
            <w:pPr>
              <w:jc w:val="center"/>
              <w:rPr>
                <w:rFonts w:ascii="Arial" w:cs="Arial" w:eastAsia="Arial" w:hAnsi="Arial"/>
                <w:b w:val="1"/>
              </w:rPr>
            </w:pPr>
            <w:r w:rsidDel="00000000" w:rsidR="00000000" w:rsidRPr="00000000">
              <w:rPr>
                <w:rFonts w:ascii="Arial" w:cs="Arial" w:eastAsia="Arial" w:hAnsi="Arial"/>
                <w:b w:val="1"/>
                <w:rtl w:val="0"/>
              </w:rPr>
              <w:t xml:space="preserve">CÓDIGO PRODUCTO</w:t>
            </w:r>
          </w:p>
        </w:tc>
        <w:tc>
          <w:tcPr>
            <w:shd w:fill="acb9ca" w:val="clear"/>
            <w:vAlign w:val="center"/>
          </w:tcPr>
          <w:p w:rsidR="00000000" w:rsidDel="00000000" w:rsidP="00000000" w:rsidRDefault="00000000" w:rsidRPr="00000000" w14:paraId="00000034">
            <w:pPr>
              <w:jc w:val="center"/>
              <w:rPr>
                <w:rFonts w:ascii="Arial" w:cs="Arial" w:eastAsia="Arial" w:hAnsi="Arial"/>
                <w:b w:val="1"/>
              </w:rPr>
            </w:pPr>
            <w:r w:rsidDel="00000000" w:rsidR="00000000" w:rsidRPr="00000000">
              <w:rPr>
                <w:rFonts w:ascii="Arial" w:cs="Arial" w:eastAsia="Arial" w:hAnsi="Arial"/>
                <w:b w:val="1"/>
                <w:rtl w:val="0"/>
              </w:rPr>
              <w:t xml:space="preserve">CLASE - PRODUCTO</w:t>
            </w:r>
          </w:p>
        </w:tc>
      </w:tr>
      <w:tr>
        <w:trPr>
          <w:cantSplit w:val="0"/>
          <w:trHeight w:val="388" w:hRule="atLeast"/>
          <w:tblHeader w:val="0"/>
        </w:trPr>
        <w:tc>
          <w:tcPr>
            <w:shd w:fill="ffffff" w:val="clear"/>
            <w:vAlign w:val="center"/>
          </w:tcPr>
          <w:p w:rsidR="00000000" w:rsidDel="00000000" w:rsidP="00000000" w:rsidRDefault="00000000" w:rsidRPr="00000000" w14:paraId="00000035">
            <w:pPr>
              <w:jc w:val="center"/>
              <w:rPr>
                <w:rFonts w:ascii="Arial" w:cs="Arial" w:eastAsia="Arial" w:hAnsi="Arial"/>
              </w:rPr>
            </w:pPr>
            <w:r w:rsidDel="00000000" w:rsidR="00000000" w:rsidRPr="00000000">
              <w:rPr>
                <w:rFonts w:ascii="Arial" w:cs="Arial" w:eastAsia="Arial" w:hAnsi="Arial"/>
                <w:rtl w:val="0"/>
              </w:rPr>
              <w:t xml:space="preserve">72</w:t>
            </w:r>
          </w:p>
        </w:tc>
        <w:tc>
          <w:tcPr>
            <w:shd w:fill="ffffff" w:val="clear"/>
            <w:vAlign w:val="center"/>
          </w:tcPr>
          <w:p w:rsidR="00000000" w:rsidDel="00000000" w:rsidP="00000000" w:rsidRDefault="00000000" w:rsidRPr="00000000" w14:paraId="00000036">
            <w:pPr>
              <w:jc w:val="center"/>
              <w:rPr>
                <w:rFonts w:ascii="Arial" w:cs="Arial" w:eastAsia="Arial" w:hAnsi="Arial"/>
              </w:rPr>
            </w:pPr>
            <w:r w:rsidDel="00000000" w:rsidR="00000000" w:rsidRPr="00000000">
              <w:rPr>
                <w:rFonts w:ascii="Arial" w:cs="Arial" w:eastAsia="Arial" w:hAnsi="Arial"/>
                <w:rtl w:val="0"/>
              </w:rPr>
              <w:t xml:space="preserve">10</w:t>
            </w:r>
          </w:p>
        </w:tc>
        <w:tc>
          <w:tcPr>
            <w:shd w:fill="ffffff" w:val="clear"/>
            <w:vAlign w:val="center"/>
          </w:tcPr>
          <w:p w:rsidR="00000000" w:rsidDel="00000000" w:rsidP="00000000" w:rsidRDefault="00000000" w:rsidRPr="00000000" w14:paraId="00000037">
            <w:pPr>
              <w:jc w:val="center"/>
              <w:rPr>
                <w:rFonts w:ascii="Arial" w:cs="Arial" w:eastAsia="Arial" w:hAnsi="Arial"/>
              </w:rPr>
            </w:pPr>
            <w:r w:rsidDel="00000000" w:rsidR="00000000" w:rsidRPr="00000000">
              <w:rPr>
                <w:rFonts w:ascii="Arial" w:cs="Arial" w:eastAsia="Arial" w:hAnsi="Arial"/>
                <w:rtl w:val="0"/>
              </w:rPr>
              <w:t xml:space="preserve">21</w:t>
            </w:r>
          </w:p>
        </w:tc>
        <w:tc>
          <w:tcPr>
            <w:shd w:fill="ffffff" w:val="clear"/>
            <w:vAlign w:val="center"/>
          </w:tcPr>
          <w:p w:rsidR="00000000" w:rsidDel="00000000" w:rsidP="00000000" w:rsidRDefault="00000000" w:rsidRPr="00000000" w14:paraId="00000038">
            <w:pPr>
              <w:jc w:val="right"/>
              <w:rPr>
                <w:rFonts w:ascii="Arial" w:cs="Arial" w:eastAsia="Arial" w:hAnsi="Arial"/>
              </w:rPr>
            </w:pPr>
            <w:r w:rsidDel="00000000" w:rsidR="00000000" w:rsidRPr="00000000">
              <w:rPr>
                <w:rFonts w:ascii="Arial" w:cs="Arial" w:eastAsia="Arial" w:hAnsi="Arial"/>
                <w:rtl w:val="0"/>
              </w:rPr>
              <w:t xml:space="preserve">72102103</w:t>
            </w:r>
          </w:p>
        </w:tc>
        <w:tc>
          <w:tcPr>
            <w:shd w:fill="ffffff" w:val="clear"/>
            <w:vAlign w:val="center"/>
          </w:tcPr>
          <w:p w:rsidR="00000000" w:rsidDel="00000000" w:rsidP="00000000" w:rsidRDefault="00000000" w:rsidRPr="00000000" w14:paraId="00000039">
            <w:pPr>
              <w:rPr>
                <w:rFonts w:ascii="Arial" w:cs="Arial" w:eastAsia="Arial" w:hAnsi="Arial"/>
              </w:rPr>
            </w:pPr>
            <w:r w:rsidDel="00000000" w:rsidR="00000000" w:rsidRPr="00000000">
              <w:rPr>
                <w:rFonts w:ascii="Arial" w:cs="Arial" w:eastAsia="Arial" w:hAnsi="Arial"/>
                <w:rtl w:val="0"/>
              </w:rPr>
              <w:t xml:space="preserve">Servicios de exterminación o fumigación</w:t>
            </w:r>
          </w:p>
        </w:tc>
      </w:tr>
      <w:tr>
        <w:trPr>
          <w:cantSplit w:val="0"/>
          <w:trHeight w:val="388" w:hRule="atLeast"/>
          <w:tblHeader w:val="0"/>
        </w:trPr>
        <w:tc>
          <w:tcPr>
            <w:shd w:fill="ffffff" w:val="clear"/>
            <w:vAlign w:val="center"/>
          </w:tcPr>
          <w:p w:rsidR="00000000" w:rsidDel="00000000" w:rsidP="00000000" w:rsidRDefault="00000000" w:rsidRPr="00000000" w14:paraId="0000003A">
            <w:pPr>
              <w:jc w:val="center"/>
              <w:rPr>
                <w:rFonts w:ascii="Arial" w:cs="Arial" w:eastAsia="Arial" w:hAnsi="Arial"/>
              </w:rPr>
            </w:pPr>
            <w:r w:rsidDel="00000000" w:rsidR="00000000" w:rsidRPr="00000000">
              <w:rPr>
                <w:rFonts w:ascii="Arial" w:cs="Arial" w:eastAsia="Arial" w:hAnsi="Arial"/>
                <w:rtl w:val="0"/>
              </w:rPr>
              <w:t xml:space="preserve">10</w:t>
            </w:r>
          </w:p>
        </w:tc>
        <w:tc>
          <w:tcPr>
            <w:shd w:fill="ffffff" w:val="clear"/>
            <w:vAlign w:val="center"/>
          </w:tcPr>
          <w:p w:rsidR="00000000" w:rsidDel="00000000" w:rsidP="00000000" w:rsidRDefault="00000000" w:rsidRPr="00000000" w14:paraId="0000003B">
            <w:pPr>
              <w:jc w:val="center"/>
              <w:rPr>
                <w:rFonts w:ascii="Arial" w:cs="Arial" w:eastAsia="Arial" w:hAnsi="Arial"/>
              </w:rPr>
            </w:pPr>
            <w:r w:rsidDel="00000000" w:rsidR="00000000" w:rsidRPr="00000000">
              <w:rPr>
                <w:rFonts w:ascii="Arial" w:cs="Arial" w:eastAsia="Arial" w:hAnsi="Arial"/>
                <w:rtl w:val="0"/>
              </w:rPr>
              <w:t xml:space="preserve">19</w:t>
            </w:r>
          </w:p>
        </w:tc>
        <w:tc>
          <w:tcPr>
            <w:shd w:fill="ffffff" w:val="clear"/>
            <w:vAlign w:val="center"/>
          </w:tcPr>
          <w:p w:rsidR="00000000" w:rsidDel="00000000" w:rsidP="00000000" w:rsidRDefault="00000000" w:rsidRPr="00000000" w14:paraId="0000003C">
            <w:pPr>
              <w:jc w:val="center"/>
              <w:rPr>
                <w:rFonts w:ascii="Arial" w:cs="Arial" w:eastAsia="Arial" w:hAnsi="Arial"/>
              </w:rPr>
            </w:pPr>
            <w:r w:rsidDel="00000000" w:rsidR="00000000" w:rsidRPr="00000000">
              <w:rPr>
                <w:rFonts w:ascii="Arial" w:cs="Arial" w:eastAsia="Arial" w:hAnsi="Arial"/>
                <w:rtl w:val="0"/>
              </w:rPr>
              <w:t xml:space="preserve">15</w:t>
            </w:r>
          </w:p>
        </w:tc>
        <w:tc>
          <w:tcPr>
            <w:shd w:fill="ffffff" w:val="clear"/>
            <w:vAlign w:val="center"/>
          </w:tcPr>
          <w:p w:rsidR="00000000" w:rsidDel="00000000" w:rsidP="00000000" w:rsidRDefault="00000000" w:rsidRPr="00000000" w14:paraId="0000003D">
            <w:pPr>
              <w:jc w:val="right"/>
              <w:rPr>
                <w:rFonts w:ascii="Arial" w:cs="Arial" w:eastAsia="Arial" w:hAnsi="Arial"/>
              </w:rPr>
            </w:pPr>
            <w:r w:rsidDel="00000000" w:rsidR="00000000" w:rsidRPr="00000000">
              <w:rPr>
                <w:rFonts w:ascii="Arial" w:cs="Arial" w:eastAsia="Arial" w:hAnsi="Arial"/>
                <w:rtl w:val="0"/>
              </w:rPr>
              <w:t xml:space="preserve">10191509</w:t>
            </w:r>
          </w:p>
        </w:tc>
        <w:tc>
          <w:tcPr>
            <w:shd w:fill="ffffff" w:val="clear"/>
            <w:vAlign w:val="center"/>
          </w:tcPr>
          <w:p w:rsidR="00000000" w:rsidDel="00000000" w:rsidP="00000000" w:rsidRDefault="00000000" w:rsidRPr="00000000" w14:paraId="0000003E">
            <w:pPr>
              <w:rPr>
                <w:rFonts w:ascii="Arial" w:cs="Arial" w:eastAsia="Arial" w:hAnsi="Arial"/>
              </w:rPr>
            </w:pPr>
            <w:r w:rsidDel="00000000" w:rsidR="00000000" w:rsidRPr="00000000">
              <w:rPr>
                <w:rFonts w:ascii="Arial" w:cs="Arial" w:eastAsia="Arial" w:hAnsi="Arial"/>
                <w:color w:val="000000"/>
                <w:rtl w:val="0"/>
              </w:rPr>
              <w:t xml:space="preserve">insecticidas</w:t>
            </w:r>
            <w:r w:rsidDel="00000000" w:rsidR="00000000" w:rsidRPr="00000000">
              <w:rPr>
                <w:rtl w:val="0"/>
              </w:rPr>
            </w:r>
          </w:p>
        </w:tc>
      </w:tr>
      <w:tr>
        <w:trPr>
          <w:cantSplit w:val="0"/>
          <w:trHeight w:val="388" w:hRule="atLeast"/>
          <w:tblHeader w:val="0"/>
        </w:trPr>
        <w:tc>
          <w:tcPr>
            <w:shd w:fill="ffffff" w:val="clear"/>
            <w:vAlign w:val="center"/>
          </w:tcPr>
          <w:p w:rsidR="00000000" w:rsidDel="00000000" w:rsidP="00000000" w:rsidRDefault="00000000" w:rsidRPr="00000000" w14:paraId="0000003F">
            <w:pPr>
              <w:jc w:val="center"/>
              <w:rPr>
                <w:rFonts w:ascii="Arial" w:cs="Arial" w:eastAsia="Arial" w:hAnsi="Arial"/>
              </w:rPr>
            </w:pPr>
            <w:r w:rsidDel="00000000" w:rsidR="00000000" w:rsidRPr="00000000">
              <w:rPr>
                <w:rFonts w:ascii="Arial" w:cs="Arial" w:eastAsia="Arial" w:hAnsi="Arial"/>
                <w:rtl w:val="0"/>
              </w:rPr>
              <w:t xml:space="preserve">73</w:t>
            </w:r>
          </w:p>
        </w:tc>
        <w:tc>
          <w:tcPr>
            <w:shd w:fill="ffffff" w:val="clear"/>
            <w:vAlign w:val="center"/>
          </w:tcPr>
          <w:p w:rsidR="00000000" w:rsidDel="00000000" w:rsidP="00000000" w:rsidRDefault="00000000" w:rsidRPr="00000000" w14:paraId="00000040">
            <w:pPr>
              <w:jc w:val="center"/>
              <w:rPr>
                <w:rFonts w:ascii="Arial" w:cs="Arial" w:eastAsia="Arial" w:hAnsi="Arial"/>
              </w:rPr>
            </w:pPr>
            <w:r w:rsidDel="00000000" w:rsidR="00000000" w:rsidRPr="00000000">
              <w:rPr>
                <w:rFonts w:ascii="Arial" w:cs="Arial" w:eastAsia="Arial" w:hAnsi="Arial"/>
                <w:rtl w:val="0"/>
              </w:rPr>
              <w:t xml:space="preserve">18</w:t>
            </w:r>
          </w:p>
        </w:tc>
        <w:tc>
          <w:tcPr>
            <w:shd w:fill="ffffff" w:val="clear"/>
            <w:vAlign w:val="center"/>
          </w:tcPr>
          <w:p w:rsidR="00000000" w:rsidDel="00000000" w:rsidP="00000000" w:rsidRDefault="00000000" w:rsidRPr="00000000" w14:paraId="00000041">
            <w:pPr>
              <w:jc w:val="center"/>
              <w:rPr>
                <w:rFonts w:ascii="Arial" w:cs="Arial" w:eastAsia="Arial" w:hAnsi="Arial"/>
              </w:rPr>
            </w:pPr>
            <w:r w:rsidDel="00000000" w:rsidR="00000000" w:rsidRPr="00000000">
              <w:rPr>
                <w:rFonts w:ascii="Arial" w:cs="Arial" w:eastAsia="Arial" w:hAnsi="Arial"/>
                <w:rtl w:val="0"/>
              </w:rPr>
              <w:t xml:space="preserve">11</w:t>
            </w:r>
          </w:p>
        </w:tc>
        <w:tc>
          <w:tcPr>
            <w:shd w:fill="ffffff" w:val="clear"/>
            <w:vAlign w:val="center"/>
          </w:tcPr>
          <w:p w:rsidR="00000000" w:rsidDel="00000000" w:rsidP="00000000" w:rsidRDefault="00000000" w:rsidRPr="00000000" w14:paraId="00000042">
            <w:pPr>
              <w:jc w:val="right"/>
              <w:rPr>
                <w:rFonts w:ascii="Arial" w:cs="Arial" w:eastAsia="Arial" w:hAnsi="Arial"/>
              </w:rPr>
            </w:pPr>
            <w:r w:rsidDel="00000000" w:rsidR="00000000" w:rsidRPr="00000000">
              <w:rPr>
                <w:rFonts w:ascii="Arial" w:cs="Arial" w:eastAsia="Arial" w:hAnsi="Arial"/>
                <w:rtl w:val="0"/>
              </w:rPr>
              <w:t xml:space="preserve">73181104</w:t>
            </w:r>
          </w:p>
        </w:tc>
        <w:tc>
          <w:tcPr>
            <w:shd w:fill="ffffff" w:val="clear"/>
            <w:vAlign w:val="center"/>
          </w:tcPr>
          <w:p w:rsidR="00000000" w:rsidDel="00000000" w:rsidP="00000000" w:rsidRDefault="00000000" w:rsidRPr="00000000" w14:paraId="00000043">
            <w:pPr>
              <w:rPr>
                <w:rFonts w:ascii="Arial" w:cs="Arial" w:eastAsia="Arial" w:hAnsi="Arial"/>
              </w:rPr>
            </w:pPr>
            <w:r w:rsidDel="00000000" w:rsidR="00000000" w:rsidRPr="00000000">
              <w:rPr>
                <w:rFonts w:ascii="Arial" w:cs="Arial" w:eastAsia="Arial" w:hAnsi="Arial"/>
                <w:color w:val="000000"/>
                <w:rtl w:val="0"/>
              </w:rPr>
              <w:t xml:space="preserve">Servicios de pintura</w:t>
            </w:r>
            <w:r w:rsidDel="00000000" w:rsidR="00000000" w:rsidRPr="00000000">
              <w:rPr>
                <w:rtl w:val="0"/>
              </w:rPr>
            </w:r>
          </w:p>
        </w:tc>
      </w:tr>
      <w:tr>
        <w:trPr>
          <w:cantSplit w:val="0"/>
          <w:trHeight w:val="388" w:hRule="atLeast"/>
          <w:tblHeader w:val="0"/>
        </w:trPr>
        <w:tc>
          <w:tcPr>
            <w:shd w:fill="ffffff" w:val="clear"/>
            <w:vAlign w:val="center"/>
          </w:tcPr>
          <w:p w:rsidR="00000000" w:rsidDel="00000000" w:rsidP="00000000" w:rsidRDefault="00000000" w:rsidRPr="00000000" w14:paraId="00000044">
            <w:pPr>
              <w:jc w:val="center"/>
              <w:rPr>
                <w:rFonts w:ascii="Arial" w:cs="Arial" w:eastAsia="Arial" w:hAnsi="Arial"/>
              </w:rPr>
            </w:pPr>
            <w:r w:rsidDel="00000000" w:rsidR="00000000" w:rsidRPr="00000000">
              <w:rPr>
                <w:rFonts w:ascii="Arial" w:cs="Arial" w:eastAsia="Arial" w:hAnsi="Arial"/>
                <w:rtl w:val="0"/>
              </w:rPr>
              <w:t xml:space="preserve">39</w:t>
            </w:r>
          </w:p>
        </w:tc>
        <w:tc>
          <w:tcPr>
            <w:shd w:fill="ffffff" w:val="clear"/>
            <w:vAlign w:val="center"/>
          </w:tcPr>
          <w:p w:rsidR="00000000" w:rsidDel="00000000" w:rsidP="00000000" w:rsidRDefault="00000000" w:rsidRPr="00000000" w14:paraId="00000045">
            <w:pPr>
              <w:jc w:val="center"/>
              <w:rPr>
                <w:rFonts w:ascii="Arial" w:cs="Arial" w:eastAsia="Arial" w:hAnsi="Arial"/>
              </w:rPr>
            </w:pPr>
            <w:r w:rsidDel="00000000" w:rsidR="00000000" w:rsidRPr="00000000">
              <w:rPr>
                <w:rFonts w:ascii="Arial" w:cs="Arial" w:eastAsia="Arial" w:hAnsi="Arial"/>
                <w:rtl w:val="0"/>
              </w:rPr>
              <w:t xml:space="preserve">10</w:t>
            </w:r>
          </w:p>
        </w:tc>
        <w:tc>
          <w:tcPr>
            <w:shd w:fill="ffffff" w:val="clear"/>
            <w:vAlign w:val="center"/>
          </w:tcPr>
          <w:p w:rsidR="00000000" w:rsidDel="00000000" w:rsidP="00000000" w:rsidRDefault="00000000" w:rsidRPr="00000000" w14:paraId="00000046">
            <w:pPr>
              <w:jc w:val="center"/>
              <w:rPr>
                <w:rFonts w:ascii="Arial" w:cs="Arial" w:eastAsia="Arial" w:hAnsi="Arial"/>
              </w:rPr>
            </w:pPr>
            <w:r w:rsidDel="00000000" w:rsidR="00000000" w:rsidRPr="00000000">
              <w:rPr>
                <w:rFonts w:ascii="Arial" w:cs="Arial" w:eastAsia="Arial" w:hAnsi="Arial"/>
                <w:rtl w:val="0"/>
              </w:rPr>
              <w:t xml:space="preserve">16</w:t>
            </w:r>
          </w:p>
        </w:tc>
        <w:tc>
          <w:tcPr>
            <w:shd w:fill="ffffff" w:val="clear"/>
            <w:vAlign w:val="center"/>
          </w:tcPr>
          <w:p w:rsidR="00000000" w:rsidDel="00000000" w:rsidP="00000000" w:rsidRDefault="00000000" w:rsidRPr="00000000" w14:paraId="00000047">
            <w:pPr>
              <w:jc w:val="right"/>
              <w:rPr>
                <w:rFonts w:ascii="Arial" w:cs="Arial" w:eastAsia="Arial" w:hAnsi="Arial"/>
              </w:rPr>
            </w:pPr>
            <w:r w:rsidDel="00000000" w:rsidR="00000000" w:rsidRPr="00000000">
              <w:rPr>
                <w:rFonts w:ascii="Arial" w:cs="Arial" w:eastAsia="Arial" w:hAnsi="Arial"/>
                <w:rtl w:val="0"/>
              </w:rPr>
              <w:t xml:space="preserve">39101616</w:t>
            </w:r>
          </w:p>
        </w:tc>
        <w:tc>
          <w:tcPr>
            <w:shd w:fill="ffffff" w:val="clear"/>
            <w:vAlign w:val="center"/>
          </w:tcPr>
          <w:p w:rsidR="00000000" w:rsidDel="00000000" w:rsidP="00000000" w:rsidRDefault="00000000" w:rsidRPr="00000000" w14:paraId="00000048">
            <w:pPr>
              <w:rPr>
                <w:rFonts w:ascii="Arial" w:cs="Arial" w:eastAsia="Arial" w:hAnsi="Arial"/>
              </w:rPr>
            </w:pPr>
            <w:r w:rsidDel="00000000" w:rsidR="00000000" w:rsidRPr="00000000">
              <w:rPr>
                <w:rFonts w:ascii="Arial" w:cs="Arial" w:eastAsia="Arial" w:hAnsi="Arial"/>
                <w:color w:val="000000"/>
                <w:rtl w:val="0"/>
              </w:rPr>
              <w:t xml:space="preserve">Lámparas de rayos ultravioleta (uv)</w:t>
            </w:r>
            <w:r w:rsidDel="00000000" w:rsidR="00000000" w:rsidRPr="00000000">
              <w:rPr>
                <w:rtl w:val="0"/>
              </w:rPr>
            </w:r>
          </w:p>
        </w:tc>
      </w:tr>
      <w:tr>
        <w:trPr>
          <w:cantSplit w:val="0"/>
          <w:trHeight w:val="388" w:hRule="atLeast"/>
          <w:tblHeader w:val="0"/>
        </w:trPr>
        <w:tc>
          <w:tcPr>
            <w:shd w:fill="ffffff" w:val="clear"/>
            <w:vAlign w:val="center"/>
          </w:tcPr>
          <w:p w:rsidR="00000000" w:rsidDel="00000000" w:rsidP="00000000" w:rsidRDefault="00000000" w:rsidRPr="00000000" w14:paraId="00000049">
            <w:pPr>
              <w:jc w:val="center"/>
              <w:rPr>
                <w:rFonts w:ascii="Arial" w:cs="Arial" w:eastAsia="Arial" w:hAnsi="Arial"/>
              </w:rPr>
            </w:pPr>
            <w:r w:rsidDel="00000000" w:rsidR="00000000" w:rsidRPr="00000000">
              <w:rPr>
                <w:rFonts w:ascii="Arial" w:cs="Arial" w:eastAsia="Arial" w:hAnsi="Arial"/>
                <w:rtl w:val="0"/>
              </w:rPr>
              <w:t xml:space="preserve">72</w:t>
            </w:r>
          </w:p>
        </w:tc>
        <w:tc>
          <w:tcPr>
            <w:shd w:fill="ffffff" w:val="clear"/>
            <w:vAlign w:val="center"/>
          </w:tcPr>
          <w:p w:rsidR="00000000" w:rsidDel="00000000" w:rsidP="00000000" w:rsidRDefault="00000000" w:rsidRPr="00000000" w14:paraId="0000004A">
            <w:pPr>
              <w:jc w:val="center"/>
              <w:rPr>
                <w:rFonts w:ascii="Arial" w:cs="Arial" w:eastAsia="Arial" w:hAnsi="Arial"/>
              </w:rPr>
            </w:pPr>
            <w:r w:rsidDel="00000000" w:rsidR="00000000" w:rsidRPr="00000000">
              <w:rPr>
                <w:rFonts w:ascii="Arial" w:cs="Arial" w:eastAsia="Arial" w:hAnsi="Arial"/>
                <w:rtl w:val="0"/>
              </w:rPr>
              <w:t xml:space="preserve">10</w:t>
            </w:r>
          </w:p>
        </w:tc>
        <w:tc>
          <w:tcPr>
            <w:shd w:fill="ffffff" w:val="clear"/>
            <w:vAlign w:val="center"/>
          </w:tcPr>
          <w:p w:rsidR="00000000" w:rsidDel="00000000" w:rsidP="00000000" w:rsidRDefault="00000000" w:rsidRPr="00000000" w14:paraId="0000004B">
            <w:pPr>
              <w:jc w:val="center"/>
              <w:rPr>
                <w:rFonts w:ascii="Arial" w:cs="Arial" w:eastAsia="Arial" w:hAnsi="Arial"/>
              </w:rPr>
            </w:pPr>
            <w:r w:rsidDel="00000000" w:rsidR="00000000" w:rsidRPr="00000000">
              <w:rPr>
                <w:rFonts w:ascii="Arial" w:cs="Arial" w:eastAsia="Arial" w:hAnsi="Arial"/>
                <w:rtl w:val="0"/>
              </w:rPr>
              <w:t xml:space="preserve">21</w:t>
            </w:r>
          </w:p>
        </w:tc>
        <w:tc>
          <w:tcPr>
            <w:shd w:fill="ffffff" w:val="clear"/>
            <w:vAlign w:val="center"/>
          </w:tcPr>
          <w:p w:rsidR="00000000" w:rsidDel="00000000" w:rsidP="00000000" w:rsidRDefault="00000000" w:rsidRPr="00000000" w14:paraId="0000004C">
            <w:pPr>
              <w:jc w:val="right"/>
              <w:rPr>
                <w:rFonts w:ascii="Arial" w:cs="Arial" w:eastAsia="Arial" w:hAnsi="Arial"/>
              </w:rPr>
            </w:pPr>
            <w:r w:rsidDel="00000000" w:rsidR="00000000" w:rsidRPr="00000000">
              <w:rPr>
                <w:rFonts w:ascii="Arial" w:cs="Arial" w:eastAsia="Arial" w:hAnsi="Arial"/>
                <w:rtl w:val="0"/>
              </w:rPr>
              <w:t xml:space="preserve">72102102</w:t>
            </w:r>
          </w:p>
        </w:tc>
        <w:tc>
          <w:tcPr>
            <w:shd w:fill="ffffff" w:val="clear"/>
            <w:vAlign w:val="center"/>
          </w:tcPr>
          <w:p w:rsidR="00000000" w:rsidDel="00000000" w:rsidP="00000000" w:rsidRDefault="00000000" w:rsidRPr="00000000" w14:paraId="0000004D">
            <w:pPr>
              <w:rPr>
                <w:rFonts w:ascii="Arial" w:cs="Arial" w:eastAsia="Arial" w:hAnsi="Arial"/>
              </w:rPr>
            </w:pPr>
            <w:r w:rsidDel="00000000" w:rsidR="00000000" w:rsidRPr="00000000">
              <w:rPr>
                <w:rFonts w:ascii="Arial" w:cs="Arial" w:eastAsia="Arial" w:hAnsi="Arial"/>
                <w:color w:val="000000"/>
                <w:rtl w:val="0"/>
              </w:rPr>
              <w:t xml:space="preserve">Servicios de control de termitas</w:t>
            </w:r>
            <w:r w:rsidDel="00000000" w:rsidR="00000000" w:rsidRPr="00000000">
              <w:rPr>
                <w:rtl w:val="0"/>
              </w:rPr>
            </w:r>
          </w:p>
        </w:tc>
      </w:tr>
      <w:tr>
        <w:trPr>
          <w:cantSplit w:val="0"/>
          <w:trHeight w:val="388" w:hRule="atLeast"/>
          <w:tblHeader w:val="0"/>
        </w:trPr>
        <w:tc>
          <w:tcPr>
            <w:shd w:fill="ffffff" w:val="clear"/>
            <w:vAlign w:val="center"/>
          </w:tcPr>
          <w:p w:rsidR="00000000" w:rsidDel="00000000" w:rsidP="00000000" w:rsidRDefault="00000000" w:rsidRPr="00000000" w14:paraId="0000004E">
            <w:pPr>
              <w:jc w:val="center"/>
              <w:rPr>
                <w:rFonts w:ascii="Arial" w:cs="Arial" w:eastAsia="Arial" w:hAnsi="Arial"/>
              </w:rPr>
            </w:pPr>
            <w:r w:rsidDel="00000000" w:rsidR="00000000" w:rsidRPr="00000000">
              <w:rPr>
                <w:rFonts w:ascii="Arial" w:cs="Arial" w:eastAsia="Arial" w:hAnsi="Arial"/>
                <w:rtl w:val="0"/>
              </w:rPr>
              <w:t xml:space="preserve">72</w:t>
            </w:r>
          </w:p>
        </w:tc>
        <w:tc>
          <w:tcPr>
            <w:shd w:fill="ffffff" w:val="clear"/>
            <w:vAlign w:val="center"/>
          </w:tcPr>
          <w:p w:rsidR="00000000" w:rsidDel="00000000" w:rsidP="00000000" w:rsidRDefault="00000000" w:rsidRPr="00000000" w14:paraId="0000004F">
            <w:pPr>
              <w:jc w:val="center"/>
              <w:rPr>
                <w:rFonts w:ascii="Arial" w:cs="Arial" w:eastAsia="Arial" w:hAnsi="Arial"/>
              </w:rPr>
            </w:pPr>
            <w:r w:rsidDel="00000000" w:rsidR="00000000" w:rsidRPr="00000000">
              <w:rPr>
                <w:rFonts w:ascii="Arial" w:cs="Arial" w:eastAsia="Arial" w:hAnsi="Arial"/>
                <w:rtl w:val="0"/>
              </w:rPr>
              <w:t xml:space="preserve">10</w:t>
            </w:r>
          </w:p>
        </w:tc>
        <w:tc>
          <w:tcPr>
            <w:shd w:fill="ffffff" w:val="clear"/>
            <w:vAlign w:val="center"/>
          </w:tcPr>
          <w:p w:rsidR="00000000" w:rsidDel="00000000" w:rsidP="00000000" w:rsidRDefault="00000000" w:rsidRPr="00000000" w14:paraId="00000050">
            <w:pPr>
              <w:jc w:val="center"/>
              <w:rPr>
                <w:rFonts w:ascii="Arial" w:cs="Arial" w:eastAsia="Arial" w:hAnsi="Arial"/>
              </w:rPr>
            </w:pPr>
            <w:r w:rsidDel="00000000" w:rsidR="00000000" w:rsidRPr="00000000">
              <w:rPr>
                <w:rFonts w:ascii="Arial" w:cs="Arial" w:eastAsia="Arial" w:hAnsi="Arial"/>
                <w:rtl w:val="0"/>
              </w:rPr>
              <w:t xml:space="preserve">21</w:t>
            </w:r>
          </w:p>
        </w:tc>
        <w:tc>
          <w:tcPr>
            <w:shd w:fill="ffffff" w:val="clear"/>
            <w:vAlign w:val="center"/>
          </w:tcPr>
          <w:p w:rsidR="00000000" w:rsidDel="00000000" w:rsidP="00000000" w:rsidRDefault="00000000" w:rsidRPr="00000000" w14:paraId="00000051">
            <w:pPr>
              <w:jc w:val="right"/>
              <w:rPr>
                <w:rFonts w:ascii="Arial" w:cs="Arial" w:eastAsia="Arial" w:hAnsi="Arial"/>
              </w:rPr>
            </w:pPr>
            <w:r w:rsidDel="00000000" w:rsidR="00000000" w:rsidRPr="00000000">
              <w:rPr>
                <w:rFonts w:ascii="Arial" w:cs="Arial" w:eastAsia="Arial" w:hAnsi="Arial"/>
                <w:rtl w:val="0"/>
              </w:rPr>
              <w:t xml:space="preserve">72102104</w:t>
            </w:r>
          </w:p>
        </w:tc>
        <w:tc>
          <w:tcPr>
            <w:shd w:fill="ffffff" w:val="clear"/>
            <w:vAlign w:val="center"/>
          </w:tcPr>
          <w:p w:rsidR="00000000" w:rsidDel="00000000" w:rsidP="00000000" w:rsidRDefault="00000000" w:rsidRPr="00000000" w14:paraId="00000052">
            <w:pPr>
              <w:rPr>
                <w:rFonts w:ascii="Arial" w:cs="Arial" w:eastAsia="Arial" w:hAnsi="Arial"/>
                <w:color w:val="000000"/>
              </w:rPr>
            </w:pPr>
            <w:r w:rsidDel="00000000" w:rsidR="00000000" w:rsidRPr="00000000">
              <w:rPr>
                <w:rFonts w:ascii="Arial" w:cs="Arial" w:eastAsia="Arial" w:hAnsi="Arial"/>
                <w:color w:val="000000"/>
                <w:rtl w:val="0"/>
              </w:rPr>
              <w:t xml:space="preserve">Control estructural de plagas</w:t>
            </w:r>
          </w:p>
        </w:tc>
      </w:tr>
      <w:tr>
        <w:trPr>
          <w:cantSplit w:val="0"/>
          <w:trHeight w:val="388" w:hRule="atLeast"/>
          <w:tblHeader w:val="0"/>
        </w:trPr>
        <w:tc>
          <w:tcPr>
            <w:shd w:fill="ffffff" w:val="clear"/>
            <w:vAlign w:val="center"/>
          </w:tcPr>
          <w:p w:rsidR="00000000" w:rsidDel="00000000" w:rsidP="00000000" w:rsidRDefault="00000000" w:rsidRPr="00000000" w14:paraId="00000053">
            <w:pPr>
              <w:jc w:val="center"/>
              <w:rPr>
                <w:rFonts w:ascii="Arial" w:cs="Arial" w:eastAsia="Arial" w:hAnsi="Arial"/>
              </w:rPr>
            </w:pPr>
            <w:r w:rsidDel="00000000" w:rsidR="00000000" w:rsidRPr="00000000">
              <w:rPr>
                <w:rFonts w:ascii="Arial" w:cs="Arial" w:eastAsia="Arial" w:hAnsi="Arial"/>
                <w:rtl w:val="0"/>
              </w:rPr>
              <w:t xml:space="preserve">82</w:t>
            </w:r>
          </w:p>
        </w:tc>
        <w:tc>
          <w:tcPr>
            <w:shd w:fill="ffffff" w:val="clear"/>
            <w:vAlign w:val="center"/>
          </w:tcPr>
          <w:p w:rsidR="00000000" w:rsidDel="00000000" w:rsidP="00000000" w:rsidRDefault="00000000" w:rsidRPr="00000000" w14:paraId="00000054">
            <w:pPr>
              <w:jc w:val="center"/>
              <w:rPr>
                <w:rFonts w:ascii="Arial" w:cs="Arial" w:eastAsia="Arial" w:hAnsi="Arial"/>
              </w:rPr>
            </w:pPr>
            <w:r w:rsidDel="00000000" w:rsidR="00000000" w:rsidRPr="00000000">
              <w:rPr>
                <w:rFonts w:ascii="Arial" w:cs="Arial" w:eastAsia="Arial" w:hAnsi="Arial"/>
                <w:rtl w:val="0"/>
              </w:rPr>
              <w:t xml:space="preserve">10</w:t>
            </w:r>
          </w:p>
        </w:tc>
        <w:tc>
          <w:tcPr>
            <w:shd w:fill="ffffff" w:val="clear"/>
            <w:vAlign w:val="center"/>
          </w:tcPr>
          <w:p w:rsidR="00000000" w:rsidDel="00000000" w:rsidP="00000000" w:rsidRDefault="00000000" w:rsidRPr="00000000" w14:paraId="00000055">
            <w:pPr>
              <w:jc w:val="center"/>
              <w:rPr>
                <w:rFonts w:ascii="Arial" w:cs="Arial" w:eastAsia="Arial" w:hAnsi="Arial"/>
              </w:rPr>
            </w:pPr>
            <w:r w:rsidDel="00000000" w:rsidR="00000000" w:rsidRPr="00000000">
              <w:rPr>
                <w:rFonts w:ascii="Arial" w:cs="Arial" w:eastAsia="Arial" w:hAnsi="Arial"/>
                <w:rtl w:val="0"/>
              </w:rPr>
              <w:t xml:space="preserve">15</w:t>
            </w:r>
          </w:p>
        </w:tc>
        <w:tc>
          <w:tcPr>
            <w:shd w:fill="ffffff" w:val="clear"/>
            <w:vAlign w:val="center"/>
          </w:tcPr>
          <w:p w:rsidR="00000000" w:rsidDel="00000000" w:rsidP="00000000" w:rsidRDefault="00000000" w:rsidRPr="00000000" w14:paraId="00000056">
            <w:pPr>
              <w:jc w:val="right"/>
              <w:rPr>
                <w:rFonts w:ascii="Arial" w:cs="Arial" w:eastAsia="Arial" w:hAnsi="Arial"/>
              </w:rPr>
            </w:pPr>
            <w:r w:rsidDel="00000000" w:rsidR="00000000" w:rsidRPr="00000000">
              <w:rPr>
                <w:rFonts w:ascii="Arial" w:cs="Arial" w:eastAsia="Arial" w:hAnsi="Arial"/>
                <w:rtl w:val="0"/>
              </w:rPr>
              <w:t xml:space="preserve">82101501</w:t>
            </w:r>
          </w:p>
        </w:tc>
        <w:tc>
          <w:tcPr>
            <w:shd w:fill="ffffff" w:val="clear"/>
            <w:vAlign w:val="center"/>
          </w:tcPr>
          <w:p w:rsidR="00000000" w:rsidDel="00000000" w:rsidP="00000000" w:rsidRDefault="00000000" w:rsidRPr="00000000" w14:paraId="00000057">
            <w:pPr>
              <w:rPr>
                <w:rFonts w:ascii="Arial" w:cs="Arial" w:eastAsia="Arial" w:hAnsi="Arial"/>
                <w:color w:val="000000"/>
              </w:rPr>
            </w:pPr>
            <w:r w:rsidDel="00000000" w:rsidR="00000000" w:rsidRPr="00000000">
              <w:rPr>
                <w:rFonts w:ascii="Arial" w:cs="Arial" w:eastAsia="Arial" w:hAnsi="Arial"/>
                <w:color w:val="000000"/>
                <w:rtl w:val="0"/>
              </w:rPr>
              <w:t xml:space="preserve">Publicidad en vallas</w:t>
            </w:r>
          </w:p>
        </w:tc>
      </w:tr>
      <w:tr>
        <w:trPr>
          <w:cantSplit w:val="0"/>
          <w:trHeight w:val="388" w:hRule="atLeast"/>
          <w:tblHeader w:val="0"/>
        </w:trPr>
        <w:tc>
          <w:tcPr>
            <w:shd w:fill="ffffff" w:val="clear"/>
            <w:vAlign w:val="center"/>
          </w:tcPr>
          <w:p w:rsidR="00000000" w:rsidDel="00000000" w:rsidP="00000000" w:rsidRDefault="00000000" w:rsidRPr="00000000" w14:paraId="00000058">
            <w:pPr>
              <w:jc w:val="center"/>
              <w:rPr>
                <w:rFonts w:ascii="Arial" w:cs="Arial" w:eastAsia="Arial" w:hAnsi="Arial"/>
              </w:rPr>
            </w:pPr>
            <w:r w:rsidDel="00000000" w:rsidR="00000000" w:rsidRPr="00000000">
              <w:rPr>
                <w:rFonts w:ascii="Arial" w:cs="Arial" w:eastAsia="Arial" w:hAnsi="Arial"/>
                <w:rtl w:val="0"/>
              </w:rPr>
              <w:t xml:space="preserve">49</w:t>
            </w:r>
          </w:p>
        </w:tc>
        <w:tc>
          <w:tcPr>
            <w:shd w:fill="ffffff" w:val="clear"/>
            <w:vAlign w:val="center"/>
          </w:tcPr>
          <w:p w:rsidR="00000000" w:rsidDel="00000000" w:rsidP="00000000" w:rsidRDefault="00000000" w:rsidRPr="00000000" w14:paraId="00000059">
            <w:pPr>
              <w:jc w:val="center"/>
              <w:rPr>
                <w:rFonts w:ascii="Arial" w:cs="Arial" w:eastAsia="Arial" w:hAnsi="Arial"/>
              </w:rPr>
            </w:pPr>
            <w:r w:rsidDel="00000000" w:rsidR="00000000" w:rsidRPr="00000000">
              <w:rPr>
                <w:rFonts w:ascii="Arial" w:cs="Arial" w:eastAsia="Arial" w:hAnsi="Arial"/>
                <w:rtl w:val="0"/>
              </w:rPr>
              <w:t xml:space="preserve">12</w:t>
            </w:r>
          </w:p>
        </w:tc>
        <w:tc>
          <w:tcPr>
            <w:shd w:fill="ffffff" w:val="clear"/>
            <w:vAlign w:val="center"/>
          </w:tcPr>
          <w:p w:rsidR="00000000" w:rsidDel="00000000" w:rsidP="00000000" w:rsidRDefault="00000000" w:rsidRPr="00000000" w14:paraId="0000005A">
            <w:pPr>
              <w:jc w:val="center"/>
              <w:rPr>
                <w:rFonts w:ascii="Arial" w:cs="Arial" w:eastAsia="Arial" w:hAnsi="Arial"/>
              </w:rPr>
            </w:pPr>
            <w:r w:rsidDel="00000000" w:rsidR="00000000" w:rsidRPr="00000000">
              <w:rPr>
                <w:rFonts w:ascii="Arial" w:cs="Arial" w:eastAsia="Arial" w:hAnsi="Arial"/>
                <w:rtl w:val="0"/>
              </w:rPr>
              <w:t xml:space="preserve">15</w:t>
            </w:r>
          </w:p>
        </w:tc>
        <w:tc>
          <w:tcPr>
            <w:shd w:fill="ffffff" w:val="clear"/>
            <w:vAlign w:val="center"/>
          </w:tcPr>
          <w:p w:rsidR="00000000" w:rsidDel="00000000" w:rsidP="00000000" w:rsidRDefault="00000000" w:rsidRPr="00000000" w14:paraId="0000005B">
            <w:pPr>
              <w:jc w:val="right"/>
              <w:rPr>
                <w:rFonts w:ascii="Arial" w:cs="Arial" w:eastAsia="Arial" w:hAnsi="Arial"/>
              </w:rPr>
            </w:pPr>
            <w:r w:rsidDel="00000000" w:rsidR="00000000" w:rsidRPr="00000000">
              <w:rPr>
                <w:rFonts w:ascii="Arial" w:cs="Arial" w:eastAsia="Arial" w:hAnsi="Arial"/>
                <w:rtl w:val="0"/>
              </w:rPr>
              <w:t xml:space="preserve">49121508</w:t>
            </w:r>
          </w:p>
        </w:tc>
        <w:tc>
          <w:tcPr>
            <w:shd w:fill="ffffff" w:val="clear"/>
            <w:vAlign w:val="center"/>
          </w:tcPr>
          <w:p w:rsidR="00000000" w:rsidDel="00000000" w:rsidP="00000000" w:rsidRDefault="00000000" w:rsidRPr="00000000" w14:paraId="0000005C">
            <w:pPr>
              <w:rPr>
                <w:rFonts w:ascii="Arial" w:cs="Arial" w:eastAsia="Arial" w:hAnsi="Arial"/>
                <w:color w:val="000000"/>
              </w:rPr>
            </w:pPr>
            <w:r w:rsidDel="00000000" w:rsidR="00000000" w:rsidRPr="00000000">
              <w:rPr>
                <w:rFonts w:ascii="Arial" w:cs="Arial" w:eastAsia="Arial" w:hAnsi="Arial"/>
                <w:color w:val="000000"/>
                <w:rtl w:val="0"/>
              </w:rPr>
              <w:t xml:space="preserve">Mosquiteros</w:t>
            </w:r>
          </w:p>
        </w:tc>
      </w:tr>
    </w:tbl>
    <w:p w:rsidR="00000000" w:rsidDel="00000000" w:rsidP="00000000" w:rsidRDefault="00000000" w:rsidRPr="00000000" w14:paraId="0000005D">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5E">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i w:val="0"/>
          <w:smallCaps w:val="0"/>
          <w:strike w:val="0"/>
          <w:color w:val="000000"/>
          <w:sz w:val="22"/>
          <w:szCs w:val="22"/>
          <w:u w:val="none"/>
          <w:shd w:fill="auto" w:val="clear"/>
          <w:vertAlign w:val="baseline"/>
        </w:rPr>
      </w:pPr>
      <w:bookmarkStart w:colFirst="0" w:colLast="0" w:name="_1mwsmck85ge8" w:id="0"/>
      <w:bookmarkEnd w:id="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ESPECIFICACIONES TÉCNICAS Y/O ESENCIALES DEL SERVICIO</w:t>
      </w:r>
    </w:p>
    <w:p w:rsidR="00000000" w:rsidDel="00000000" w:rsidP="00000000" w:rsidRDefault="00000000" w:rsidRPr="00000000" w14:paraId="0000005F">
      <w:pPr>
        <w:spacing w:after="120" w:lineRule="auto"/>
        <w:jc w:val="both"/>
        <w:rPr>
          <w:rFonts w:ascii="Arial" w:cs="Arial" w:eastAsia="Arial" w:hAnsi="Arial"/>
          <w:b w:val="1"/>
          <w:sz w:val="22"/>
          <w:szCs w:val="22"/>
        </w:rPr>
      </w:pPr>
      <w:r w:rsidDel="00000000" w:rsidR="00000000" w:rsidRPr="00000000">
        <w:rPr>
          <w:rFonts w:ascii="Arial" w:cs="Arial" w:eastAsia="Arial" w:hAnsi="Arial"/>
          <w:sz w:val="22"/>
          <w:szCs w:val="22"/>
          <w:rtl w:val="0"/>
        </w:rPr>
        <w:t xml:space="preserve">El artículo 27 del Decreto 249 de 2004, señala las funciones que deben desarrollar las subdirecciones de centro para planear, programar y ejecutar todos los procesos mencionados anteriormente, entre ellas Administrar y ejecutar todos los procesos de contratación del Centro”. Con estas justificaciones el Centro Agropecuario La Granja, desarrolló su plan de acción el cual contempla </w:t>
      </w:r>
      <w:r w:rsidDel="00000000" w:rsidR="00000000" w:rsidRPr="00000000">
        <w:rPr>
          <w:rFonts w:ascii="Arial" w:cs="Arial" w:eastAsia="Arial" w:hAnsi="Arial"/>
          <w:b w:val="1"/>
          <w:sz w:val="22"/>
          <w:szCs w:val="22"/>
          <w:rtl w:val="0"/>
        </w:rPr>
        <w:t xml:space="preserve">“CONTRATAR LA FUMIGACIÓN, CONTROL DE ROEDORES PLAGAS Y VECTORES, DEL CENTRO AGROPECUARIO LA GRANJA 2025”.</w:t>
      </w:r>
    </w:p>
    <w:p w:rsidR="00000000" w:rsidDel="00000000" w:rsidP="00000000" w:rsidRDefault="00000000" w:rsidRPr="00000000" w14:paraId="00000060">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61">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Respondiendo a la estrategia institucional anteriormente expuesta, el Centro Agropecuario La Granja Sena del El Espinal Tolima, para garantizar los servicios de formación profesional integral que se imparten en el Centro a la población rural y urbana de los diferentes municipios del departamento del Tolima y del país a través de las óptimas condiciones ambientales y de salubridad, garantizando el bienestar y seguridad de las personas a través de la contratación de la fumigación, control de roedores plagas y vectores en el Centro Agropecuario La Granja ubicado en la vereda Dindalito de la ciudad del Espinal. </w:t>
      </w:r>
    </w:p>
    <w:p w:rsidR="00000000" w:rsidDel="00000000" w:rsidP="00000000" w:rsidRDefault="00000000" w:rsidRPr="00000000" w14:paraId="00000062">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3">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consecuencia, es de vital importancia contratar la fumigación, control de roedores plagas y vectores, incluido los insumos para realizar las aplicaciones para el control estructural de plagas y la intervención de personal técnico, el cual incluye la ejecución de las actividades de acuerdo con las siguientes especificaciones: </w:t>
      </w:r>
    </w:p>
    <w:p w:rsidR="00000000" w:rsidDel="00000000" w:rsidP="00000000" w:rsidRDefault="00000000" w:rsidRPr="00000000" w14:paraId="00000064">
      <w:pPr>
        <w:spacing w:line="276" w:lineRule="auto"/>
        <w:jc w:val="both"/>
        <w:rPr>
          <w:rFonts w:ascii="Arial" w:cs="Arial" w:eastAsia="Arial" w:hAnsi="Arial"/>
          <w:sz w:val="22"/>
          <w:szCs w:val="22"/>
        </w:rPr>
      </w:pPr>
      <w:r w:rsidDel="00000000" w:rsidR="00000000" w:rsidRPr="00000000">
        <w:rPr>
          <w:rtl w:val="0"/>
        </w:rPr>
      </w:r>
    </w:p>
    <w:tbl>
      <w:tblPr>
        <w:tblStyle w:val="Table2"/>
        <w:tblW w:w="8855.0" w:type="dxa"/>
        <w:jc w:val="left"/>
        <w:tblLayout w:type="fixed"/>
        <w:tblLook w:val="0400"/>
      </w:tblPr>
      <w:tblGrid>
        <w:gridCol w:w="714"/>
        <w:gridCol w:w="5660"/>
        <w:gridCol w:w="1394"/>
        <w:gridCol w:w="1087"/>
        <w:tblGridChange w:id="0">
          <w:tblGrid>
            <w:gridCol w:w="714"/>
            <w:gridCol w:w="5660"/>
            <w:gridCol w:w="1394"/>
            <w:gridCol w:w="1087"/>
          </w:tblGrid>
        </w:tblGridChange>
      </w:tblGrid>
      <w:tr>
        <w:trPr>
          <w:cantSplit w:val="0"/>
          <w:trHeight w:val="915" w:hRule="atLeast"/>
          <w:tblHeader w:val="0"/>
        </w:trPr>
        <w:tc>
          <w:tcPr>
            <w:tcBorders>
              <w:top w:color="000000" w:space="0" w:sz="4" w:val="single"/>
              <w:left w:color="000000" w:space="0" w:sz="4" w:val="single"/>
              <w:bottom w:color="000000" w:space="0" w:sz="0" w:val="nil"/>
              <w:right w:color="000000" w:space="0" w:sz="4" w:val="single"/>
            </w:tcBorders>
            <w:shd w:fill="83cceb" w:val="clear"/>
            <w:vAlign w:val="center"/>
          </w:tcPr>
          <w:p w:rsidR="00000000" w:rsidDel="00000000" w:rsidP="00000000" w:rsidRDefault="00000000" w:rsidRPr="00000000" w14:paraId="00000065">
            <w:pPr>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ITEM</w:t>
            </w:r>
          </w:p>
        </w:tc>
        <w:tc>
          <w:tcPr>
            <w:tcBorders>
              <w:top w:color="000000" w:space="0" w:sz="4" w:val="single"/>
              <w:left w:color="000000" w:space="0" w:sz="0" w:val="nil"/>
              <w:bottom w:color="000000" w:space="0" w:sz="0" w:val="nil"/>
              <w:right w:color="000000" w:space="0" w:sz="4" w:val="single"/>
            </w:tcBorders>
            <w:shd w:fill="83cceb" w:val="clear"/>
            <w:vAlign w:val="center"/>
          </w:tcPr>
          <w:p w:rsidR="00000000" w:rsidDel="00000000" w:rsidP="00000000" w:rsidRDefault="00000000" w:rsidRPr="00000000" w14:paraId="00000066">
            <w:pPr>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DESCRIPCIÓN DEL BIEN</w:t>
            </w:r>
          </w:p>
        </w:tc>
        <w:tc>
          <w:tcPr>
            <w:tcBorders>
              <w:top w:color="000000" w:space="0" w:sz="4" w:val="single"/>
              <w:left w:color="000000" w:space="0" w:sz="0" w:val="nil"/>
              <w:bottom w:color="000000" w:space="0" w:sz="0" w:val="nil"/>
              <w:right w:color="000000" w:space="0" w:sz="4" w:val="single"/>
            </w:tcBorders>
            <w:shd w:fill="83cceb" w:val="clear"/>
            <w:vAlign w:val="center"/>
          </w:tcPr>
          <w:p w:rsidR="00000000" w:rsidDel="00000000" w:rsidP="00000000" w:rsidRDefault="00000000" w:rsidRPr="00000000" w14:paraId="00000067">
            <w:pPr>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 CANTIDAD</w:t>
            </w:r>
          </w:p>
        </w:tc>
        <w:tc>
          <w:tcPr>
            <w:tcBorders>
              <w:top w:color="000000" w:space="0" w:sz="4" w:val="single"/>
              <w:left w:color="000000" w:space="0" w:sz="0" w:val="nil"/>
              <w:bottom w:color="000000" w:space="0" w:sz="0" w:val="nil"/>
              <w:right w:color="000000" w:space="0" w:sz="4" w:val="single"/>
            </w:tcBorders>
            <w:shd w:fill="83cceb" w:val="clear"/>
            <w:vAlign w:val="center"/>
          </w:tcPr>
          <w:p w:rsidR="00000000" w:rsidDel="00000000" w:rsidP="00000000" w:rsidRDefault="00000000" w:rsidRPr="00000000" w14:paraId="00000068">
            <w:pPr>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UNIDAD DE MEDIDA</w:t>
            </w:r>
          </w:p>
        </w:tc>
      </w:tr>
      <w:tr>
        <w:trPr>
          <w:cantSplit w:val="0"/>
          <w:trHeight w:val="2790" w:hRule="atLeast"/>
          <w:tblHeader w:val="0"/>
        </w:trPr>
        <w:tc>
          <w:tcPr>
            <w:tcBorders>
              <w:top w:color="000000" w:space="0" w:sz="8"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069">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1</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06A">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Fumigación con termonebulizadora y/o Nebulizadora de áreas cerradas y abiertas de acuerdo con las necesidades del control de plagas, requerido por parte Centro Agropecuario "La Granja". Se debe realizar con productos de salud pública con rotación de estos, debe tener la recomendación técnica firmada, POR PARTE DEL PERSONAL DE ACUERDO CON LA NORMATIVA VIGENTE - por cada una de las aplicaciones recomendadas con dosis, calibración de la fumigadora y firma del profesional técnico que realiza la recomendación técnica antes de cada aplicación.</w:t>
            </w:r>
          </w:p>
        </w:tc>
        <w:tc>
          <w:tcPr>
            <w:tcBorders>
              <w:top w:color="000000" w:space="0" w:sz="8"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6B">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35.000</w:t>
            </w:r>
          </w:p>
        </w:tc>
        <w:tc>
          <w:tcPr>
            <w:tcBorders>
              <w:top w:color="000000" w:space="0" w:sz="8"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6C">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M2</w:t>
            </w:r>
          </w:p>
        </w:tc>
      </w:tr>
      <w:tr>
        <w:trPr>
          <w:cantSplit w:val="0"/>
          <w:trHeight w:val="303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06D">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06E">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Fumigación con termonebulizadora y/o Nebulizadora de áreas cerradas y abiertas de acuerdo con las necesidades del control de plagas, requerido por parte Centro Agropecuario "La Granja". Se debe realizar con productos de salud pública PRODUCTO ORGANICO, debe tener la recomendación técnica firmada, POR PARTE DEL PERSONAL DE ACUERDO CON LA NORMATIVA VIGENTE - por cada una de las aplicaciones recomendadas con dosis, calibración de la fumigadora y firma del profesional técnico que realiza la recomendación técnica antes de cada aplicación. Esta aplicación se deberá realizar después de las 4 de la tarde.</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6F">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5.000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70">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M2</w:t>
            </w:r>
          </w:p>
        </w:tc>
      </w:tr>
      <w:tr>
        <w:trPr>
          <w:cantSplit w:val="0"/>
          <w:trHeight w:val="11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071">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3</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072">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Suministro de Estación de cebado con anclaje y anclaje en el suelo para control de roedores Medidas: Alto 9,5 cm x Ancho 19 cm x Largo 23 cm – Diámetro de entrada: 5,5 cm. Tapa negra, con anclaje para poder moverlas.</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73">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74">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UN</w:t>
            </w:r>
          </w:p>
        </w:tc>
      </w:tr>
      <w:tr>
        <w:trPr>
          <w:cantSplit w:val="0"/>
          <w:trHeight w:val="85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075">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4</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076">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Demarcación con pintura roja de aceite roja en el suelo, numeración de las estaciones de cebado con sticker según la norma y leyes vigentes para esto.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77">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78">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UN</w:t>
            </w:r>
          </w:p>
        </w:tc>
      </w:tr>
      <w:tr>
        <w:trPr>
          <w:cantSplit w:val="0"/>
          <w:trHeight w:val="114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079">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07A">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Monitoreo:  mantenimiento de Estación de cebado de roedores con limpieza de estas y colocación de cebos que serán suministrados por la Entidad Servicio Nacional de Aprendizaje SENA Centro Agropecuario "La Granja" Regional Tolima</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7B">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240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7C">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UN</w:t>
            </w:r>
          </w:p>
        </w:tc>
      </w:tr>
      <w:tr>
        <w:trPr>
          <w:cantSplit w:val="0"/>
          <w:trHeight w:val="165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07D">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07E">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Monitoreo y mantenimiento de Lámpara UV mata insectos decorativa, con limpieza y suministro repuestos necesarios para su normal funcionamiento. Cambio de láminas de pegante que serán suministrados por la Entidad Servicio Nacional de Aprendizaje SENA Centro Agropecuario "La Granja" Regional Tolima</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7F">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35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0">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UN</w:t>
            </w:r>
          </w:p>
        </w:tc>
      </w:tr>
      <w:tr>
        <w:trPr>
          <w:cantSplit w:val="0"/>
          <w:trHeight w:val="114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081">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7</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082">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Mantenimiento, colocación de atrayente y lavado de Trampas para moscas. El atrayente será suministrado por la Entidad Servicio Nacional de Aprendizaje SENA Centro Agropecuario "La Granja" Regional Tolima</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3">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45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4">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UN</w:t>
            </w:r>
          </w:p>
        </w:tc>
      </w:tr>
      <w:tr>
        <w:trPr>
          <w:cantSplit w:val="0"/>
          <w:trHeight w:val="202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085">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8</w:t>
            </w:r>
          </w:p>
        </w:tc>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86">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Control Estructural de Plagas: BCPC20D1 Inalámbrica Presión Max 350psi 20v incluye cargador y batería. Limpiador de potencia, 1Varita larga con boquilla ajustable integrada, 1 Manguera de succión y extracción, 1 Adaptador de manguera de conexión rápida, 2 Batería de 20v máx x 1,5Ah, 1 Cargador. Para lavado de Trampas de Roedores, Moscas y estructuras donde se alojan plagas.</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7">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1</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8">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UN</w:t>
            </w:r>
          </w:p>
        </w:tc>
      </w:tr>
      <w:tr>
        <w:trPr>
          <w:cantSplit w:val="0"/>
          <w:trHeight w:val="111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089">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9</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08A">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Control Termitas en Archivo inactivo producto que será suministrado y aplicado por la entidad contratada. En la cotización se debe suministrar que productos va utilizar con el nombre comercial e ingrediente activo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B">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72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C">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M2</w:t>
            </w:r>
          </w:p>
        </w:tc>
      </w:tr>
      <w:tr>
        <w:trPr>
          <w:cantSplit w:val="0"/>
          <w:trHeight w:val="99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08D">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E">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Instalación de angeo galvanizado de 1 mm* 1 mm galvanizado en ventanas, cantidad 20 metros cuadrados según necesidades del centro en diferentes espacios. Con marco de aluminio.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F">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20</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090">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M2</w:t>
            </w:r>
          </w:p>
        </w:tc>
      </w:tr>
      <w:tr>
        <w:trPr>
          <w:cantSplit w:val="0"/>
          <w:trHeight w:val="1185"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091">
            <w:pPr>
              <w:jc w:val="center"/>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11</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092">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Publicidad en Vallas: Instalación de Mapa de Ubicación de las trampas de moscas, trampas UV, trampas de Roedores, trampas de termitas con su numeración. Valla de 2m x 2m Full color, con argollas para su instalación. Material en Lona.</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093">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1</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094">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UN</w:t>
            </w:r>
          </w:p>
        </w:tc>
      </w:tr>
    </w:tbl>
    <w:p w:rsidR="00000000" w:rsidDel="00000000" w:rsidP="00000000" w:rsidRDefault="00000000" w:rsidRPr="00000000" w14:paraId="00000095">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96">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97">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CONDICIONES DEL CONTRATO</w:t>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9">
      <w:pPr>
        <w:keepNext w:val="0"/>
        <w:keepLines w:val="0"/>
        <w:pageBreakBefore w:val="0"/>
        <w:widowControl w:val="1"/>
        <w:numPr>
          <w:ilvl w:val="1"/>
          <w:numId w:val="24"/>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Plazo del contrato: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El plazo de ejecución del contrato será de noventa (90) días calendario, sin exceder el 30 de diciembre de 2025, contados a partir de la firma de la respectiva acta de inicio, previo cumplimiento de los requisitos de ejecución (Registro Presupuestal y Aprobación de la Garantía Única). </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993" w:right="0" w:hanging="283.9999999999999"/>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B">
      <w:pPr>
        <w:keepNext w:val="0"/>
        <w:keepLines w:val="0"/>
        <w:pageBreakBefore w:val="0"/>
        <w:widowControl w:val="1"/>
        <w:numPr>
          <w:ilvl w:val="1"/>
          <w:numId w:val="24"/>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Lugar de Ejecución: Lugar de Ejecución: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El contrato que se suscriba será ejecutado en las instalaciones del Centro Agropecuario La Granja.   – El Espinal, ubicada en el Km. 5 vía El Espinal – Ibagué, vereda Dindalito.</w:t>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1068118</wp:posOffset>
            </wp:positionH>
            <wp:positionV relativeFrom="paragraph">
              <wp:posOffset>977</wp:posOffset>
            </wp:positionV>
            <wp:extent cx="4276725" cy="2009775"/>
            <wp:effectExtent b="0" l="0" r="0" t="0"/>
            <wp:wrapSquare wrapText="bothSides" distB="0" distT="0" distL="114300" distR="114300"/>
            <wp:docPr descr="Interfaz de usuario gráfica, Aplicación&#10;&#10;Descripción generada automáticamente" id="4" name="image30.png"/>
            <a:graphic>
              <a:graphicData uri="http://schemas.openxmlformats.org/drawingml/2006/picture">
                <pic:pic>
                  <pic:nvPicPr>
                    <pic:cNvPr descr="Interfaz de usuario gráfica, Aplicación&#10;&#10;Descripción generada automáticamente" id="0" name="image30.png"/>
                    <pic:cNvPicPr preferRelativeResize="0"/>
                  </pic:nvPicPr>
                  <pic:blipFill>
                    <a:blip r:embed="rId6"/>
                    <a:srcRect b="7099" l="25159" r="3344" t="26907"/>
                    <a:stretch>
                      <a:fillRect/>
                    </a:stretch>
                  </pic:blipFill>
                  <pic:spPr>
                    <a:xfrm>
                      <a:off x="0" y="0"/>
                      <a:ext cx="4276725" cy="2009775"/>
                    </a:xfrm>
                    <a:prstGeom prst="rect"/>
                    <a:ln/>
                  </pic:spPr>
                </pic:pic>
              </a:graphicData>
            </a:graphic>
          </wp:anchor>
        </w:drawing>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Figura 1.  Localizaciòn del predio</w:t>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B">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FORMA DE PAGO O PLAN DE PAGO:</w:t>
      </w:r>
    </w:p>
    <w:tbl>
      <w:tblPr>
        <w:tblStyle w:val="Table3"/>
        <w:tblW w:w="8921.0" w:type="dxa"/>
        <w:jc w:val="left"/>
        <w:tblBorders>
          <w:top w:color="ed7d31" w:space="0" w:sz="4" w:val="single"/>
          <w:left w:color="ed7d31" w:space="0" w:sz="4" w:val="single"/>
          <w:bottom w:color="ed7d31" w:space="0" w:sz="4" w:val="single"/>
          <w:right w:color="ed7d31" w:space="0" w:sz="4" w:val="single"/>
          <w:insideH w:color="ed7d31" w:space="0" w:sz="4" w:val="single"/>
          <w:insideV w:color="ed7d31" w:space="0" w:sz="4" w:val="single"/>
        </w:tblBorders>
        <w:tblLayout w:type="fixed"/>
        <w:tblLook w:val="0400"/>
      </w:tblPr>
      <w:tblGrid>
        <w:gridCol w:w="2427"/>
        <w:gridCol w:w="6494"/>
        <w:tblGridChange w:id="0">
          <w:tblGrid>
            <w:gridCol w:w="2427"/>
            <w:gridCol w:w="6494"/>
          </w:tblGrid>
        </w:tblGridChange>
      </w:tblGrid>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C">
            <w:pPr>
              <w:rPr>
                <w:rFonts w:ascii="Arial" w:cs="Arial" w:eastAsia="Arial" w:hAnsi="Arial"/>
                <w:sz w:val="22"/>
                <w:szCs w:val="22"/>
              </w:rPr>
            </w:pPr>
            <w:r w:rsidDel="00000000" w:rsidR="00000000" w:rsidRPr="00000000">
              <w:rPr>
                <w:rFonts w:ascii="Arial" w:cs="Arial" w:eastAsia="Arial" w:hAnsi="Arial"/>
                <w:sz w:val="22"/>
                <w:szCs w:val="22"/>
                <w:rtl w:val="0"/>
              </w:rPr>
              <w:t xml:space="preserve">Otra forma de Pago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D">
            <w:pPr>
              <w:rPr>
                <w:rFonts w:ascii="Arial" w:cs="Arial" w:eastAsia="Arial" w:hAnsi="Arial"/>
                <w:sz w:val="22"/>
                <w:szCs w:val="22"/>
              </w:rPr>
            </w:pPr>
            <w:r w:rsidDel="00000000" w:rsidR="00000000" w:rsidRPr="00000000">
              <w:rPr>
                <w:rFonts w:ascii="Arial" w:cs="Arial" w:eastAsia="Arial" w:hAnsi="Arial"/>
                <w:sz w:val="22"/>
                <w:szCs w:val="22"/>
                <w:rtl w:val="0"/>
              </w:rPr>
              <w:t xml:space="preserve">EL SENA cancelará al CONTRATISTA el valor del contrato de manera mensual a monto agotable y de acuerdo a los bienes y servicios efectivamente recibidos a satisfacción, previa certificación del supervisor del contrato donde conste el cumplimiento a satisfacción del objeto contractual, y presentación de la factura o cuenta de cobra del objeto del presente contrato, dentro de los diez (10) días siguientes al recibo de satisfacción del SENA, con el cumplimiento de todas sus obligaciones precontractuales. </w:t>
            </w:r>
          </w:p>
          <w:p w:rsidR="00000000" w:rsidDel="00000000" w:rsidP="00000000" w:rsidRDefault="00000000" w:rsidRPr="00000000" w14:paraId="000000AE">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F">
            <w:pPr>
              <w:rPr>
                <w:rFonts w:ascii="Arial" w:cs="Arial" w:eastAsia="Arial" w:hAnsi="Arial"/>
                <w:sz w:val="22"/>
                <w:szCs w:val="22"/>
              </w:rPr>
            </w:pPr>
            <w:r w:rsidDel="00000000" w:rsidR="00000000" w:rsidRPr="00000000">
              <w:rPr>
                <w:rFonts w:ascii="Arial" w:cs="Arial" w:eastAsia="Arial" w:hAnsi="Arial"/>
                <w:sz w:val="22"/>
                <w:szCs w:val="22"/>
                <w:rtl w:val="0"/>
              </w:rPr>
              <w:t xml:space="preserve">Los pagos a que se obliga el SENA Regional Tolima en virtud del contrato se sujetarán a las apropiaciones y disponibilidades presupuestales correspondientes, y a la situación de recursos del Programa Anual Mensualizado de Caja – PAC.</w:t>
            </w:r>
          </w:p>
          <w:p w:rsidR="00000000" w:rsidDel="00000000" w:rsidP="00000000" w:rsidRDefault="00000000" w:rsidRPr="00000000" w14:paraId="000000B0">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1">
            <w:pPr>
              <w:rPr>
                <w:rFonts w:ascii="Arial" w:cs="Arial" w:eastAsia="Arial" w:hAnsi="Arial"/>
                <w:sz w:val="22"/>
                <w:szCs w:val="22"/>
              </w:rPr>
            </w:pPr>
            <w:r w:rsidDel="00000000" w:rsidR="00000000" w:rsidRPr="00000000">
              <w:rPr>
                <w:rFonts w:ascii="Arial" w:cs="Arial" w:eastAsia="Arial" w:hAnsi="Arial"/>
                <w:sz w:val="22"/>
                <w:szCs w:val="22"/>
                <w:rtl w:val="0"/>
              </w:rPr>
              <w:t xml:space="preserve">El pago de cada factura se realizará dentro de los 10 días hábiles siguientes a la presentación de los siguientes documentos: </w:t>
            </w:r>
          </w:p>
          <w:p w:rsidR="00000000" w:rsidDel="00000000" w:rsidP="00000000" w:rsidRDefault="00000000" w:rsidRPr="00000000" w14:paraId="000000B2">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3">
            <w:pPr>
              <w:rPr>
                <w:rFonts w:ascii="Arial" w:cs="Arial" w:eastAsia="Arial" w:hAnsi="Arial"/>
                <w:sz w:val="22"/>
                <w:szCs w:val="22"/>
              </w:rPr>
            </w:pPr>
            <w:r w:rsidDel="00000000" w:rsidR="00000000" w:rsidRPr="00000000">
              <w:rPr>
                <w:rFonts w:ascii="Arial" w:cs="Arial" w:eastAsia="Arial" w:hAnsi="Arial"/>
                <w:sz w:val="22"/>
                <w:szCs w:val="22"/>
                <w:rtl w:val="0"/>
              </w:rPr>
              <w:t xml:space="preserve">Factura de venta, dando estricto cumplimiento a las exigencias legales que establece el artículo 617 del Estatuto Tributario, incluyendo en la factura el número del contrato, objeto de facturación, nombre y NIT de la entidad contratante y firmada por el funcionario que ejerza la función de supervisión del contrato. Si el contratista está obligado a facturar IVA debe anexar copia de la factura. </w:t>
            </w:r>
          </w:p>
          <w:p w:rsidR="00000000" w:rsidDel="00000000" w:rsidP="00000000" w:rsidRDefault="00000000" w:rsidRPr="00000000" w14:paraId="000000B4">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5">
            <w:pPr>
              <w:rPr>
                <w:rFonts w:ascii="Arial" w:cs="Arial" w:eastAsia="Arial" w:hAnsi="Arial"/>
                <w:sz w:val="22"/>
                <w:szCs w:val="22"/>
              </w:rPr>
            </w:pPr>
            <w:r w:rsidDel="00000000" w:rsidR="00000000" w:rsidRPr="00000000">
              <w:rPr>
                <w:rFonts w:ascii="Arial" w:cs="Arial" w:eastAsia="Arial" w:hAnsi="Arial"/>
                <w:sz w:val="22"/>
                <w:szCs w:val="22"/>
                <w:rtl w:val="0"/>
              </w:rPr>
              <w:t xml:space="preserve">En concordancia con la Directiva Presidencial 9 de 2020, a partir del 1º de abril de 2021 todos los proveedores o contratista obligados a facturar electrónicamente deberán entregar Factura Electrónica, Notas Debito o Notas Crédito, como requisito necesario para el pago de bienes y/o servicios contratados, conforme con lo señalado en el Decreto 358 de marzo de 2020 y en la Resolución 000042 del 5 de mayo de 2020 expedida por la DIAN. </w:t>
            </w:r>
          </w:p>
          <w:p w:rsidR="00000000" w:rsidDel="00000000" w:rsidP="00000000" w:rsidRDefault="00000000" w:rsidRPr="00000000" w14:paraId="000000B6">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7">
            <w:pPr>
              <w:rPr>
                <w:rFonts w:ascii="Arial" w:cs="Arial" w:eastAsia="Arial" w:hAnsi="Arial"/>
                <w:sz w:val="22"/>
                <w:szCs w:val="22"/>
              </w:rPr>
            </w:pPr>
            <w:r w:rsidDel="00000000" w:rsidR="00000000" w:rsidRPr="00000000">
              <w:rPr>
                <w:rFonts w:ascii="Arial" w:cs="Arial" w:eastAsia="Arial" w:hAnsi="Arial"/>
                <w:sz w:val="22"/>
                <w:szCs w:val="22"/>
                <w:rtl w:val="0"/>
              </w:rPr>
              <w:t xml:space="preserve">Informe y recibido a satisfacción de entrega y cumplimiento de las obligaciones estipuladas para el contratista, expedido por el funcionario a cargo de ejercer las funciones de supervisor del contrato. </w:t>
            </w:r>
          </w:p>
          <w:p w:rsidR="00000000" w:rsidDel="00000000" w:rsidP="00000000" w:rsidRDefault="00000000" w:rsidRPr="00000000" w14:paraId="000000B8">
            <w:pP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B9">
            <w:pPr>
              <w:rPr>
                <w:rFonts w:ascii="Arial" w:cs="Arial" w:eastAsia="Arial" w:hAnsi="Arial"/>
                <w:sz w:val="22"/>
                <w:szCs w:val="22"/>
              </w:rPr>
            </w:pPr>
            <w:r w:rsidDel="00000000" w:rsidR="00000000" w:rsidRPr="00000000">
              <w:rPr>
                <w:rFonts w:ascii="Arial" w:cs="Arial" w:eastAsia="Arial" w:hAnsi="Arial"/>
                <w:sz w:val="22"/>
                <w:szCs w:val="22"/>
                <w:rtl w:val="0"/>
              </w:rPr>
              <w:t xml:space="preserve">Acreditación del pago de aportes al Sistema de Seguridad Social y Aportes Parafiscales, acompañado de las planillas de pago del período correspondiente a la ejecución del contrato Acreditación del pago de aportes al Sistema de Seguridad Social y Aportes Parafiscales, acompañado de las planillas de pago donde el SENA pueda verificar la liquidación y pago de aportes a pensión y otros aportes del período (mes) correspondiente a la entrega de los bienes y/o servicios contratados y por ende facturados. </w:t>
            </w:r>
          </w:p>
          <w:p w:rsidR="00000000" w:rsidDel="00000000" w:rsidP="00000000" w:rsidRDefault="00000000" w:rsidRPr="00000000" w14:paraId="000000BA">
            <w:pP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BB">
            <w:pPr>
              <w:rPr>
                <w:rFonts w:ascii="Arial" w:cs="Arial" w:eastAsia="Arial" w:hAnsi="Arial"/>
                <w:sz w:val="22"/>
                <w:szCs w:val="22"/>
              </w:rPr>
            </w:pPr>
            <w:r w:rsidDel="00000000" w:rsidR="00000000" w:rsidRPr="00000000">
              <w:rPr>
                <w:rFonts w:ascii="Arial" w:cs="Arial" w:eastAsia="Arial" w:hAnsi="Arial"/>
                <w:sz w:val="22"/>
                <w:szCs w:val="22"/>
                <w:rtl w:val="0"/>
              </w:rPr>
              <w:t xml:space="preserve">Certificado de cuenta bancaria del beneficiario del pago con fecha de expedición no mayor a 30 días. </w:t>
            </w:r>
          </w:p>
          <w:p w:rsidR="00000000" w:rsidDel="00000000" w:rsidP="00000000" w:rsidRDefault="00000000" w:rsidRPr="00000000" w14:paraId="000000BC">
            <w:pP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BD">
            <w:pPr>
              <w:rPr>
                <w:rFonts w:ascii="Arial" w:cs="Arial" w:eastAsia="Arial" w:hAnsi="Arial"/>
                <w:sz w:val="22"/>
                <w:szCs w:val="22"/>
              </w:rPr>
            </w:pPr>
            <w:r w:rsidDel="00000000" w:rsidR="00000000" w:rsidRPr="00000000">
              <w:rPr>
                <w:rFonts w:ascii="Arial" w:cs="Arial" w:eastAsia="Arial" w:hAnsi="Arial"/>
                <w:sz w:val="22"/>
                <w:szCs w:val="22"/>
                <w:rtl w:val="0"/>
              </w:rPr>
              <w:t xml:space="preserve">Resolución de Facturación (autorización de facturación) expedida por la DIAN con vigencia no mayor a dos años respecto a la fecha de entrega de la factura. Una vez reunida la documentación pertinente para el inicio del trámite del pago, el contratista deberá atender lo estipulado en la Circular Nº01-3-2020-000054, o la que la sustituya donde debe conformar dos archivos de la siguiente manera GESTION FINANCIERA Y GESTION CONTRACTUAL: </w:t>
            </w:r>
          </w:p>
          <w:p w:rsidR="00000000" w:rsidDel="00000000" w:rsidP="00000000" w:rsidRDefault="00000000" w:rsidRPr="00000000" w14:paraId="000000BE">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F">
            <w:pPr>
              <w:rPr>
                <w:rFonts w:ascii="Arial" w:cs="Arial" w:eastAsia="Arial" w:hAnsi="Arial"/>
                <w:sz w:val="22"/>
                <w:szCs w:val="22"/>
              </w:rPr>
            </w:pPr>
            <w:r w:rsidDel="00000000" w:rsidR="00000000" w:rsidRPr="00000000">
              <w:rPr>
                <w:rFonts w:ascii="Arial" w:cs="Arial" w:eastAsia="Arial" w:hAnsi="Arial"/>
                <w:sz w:val="22"/>
                <w:szCs w:val="22"/>
                <w:rtl w:val="0"/>
              </w:rPr>
              <w:t xml:space="preserve">GF_NIT_RP_MES_AÑO_PDF GC_NIT_RP_MES_AÑO_PDF </w:t>
            </w:r>
          </w:p>
          <w:p w:rsidR="00000000" w:rsidDel="00000000" w:rsidP="00000000" w:rsidRDefault="00000000" w:rsidRPr="00000000" w14:paraId="000000C0">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1">
            <w:pPr>
              <w:rPr>
                <w:rFonts w:ascii="Arial" w:cs="Arial" w:eastAsia="Arial" w:hAnsi="Arial"/>
                <w:sz w:val="22"/>
                <w:szCs w:val="22"/>
              </w:rPr>
            </w:pPr>
            <w:r w:rsidDel="00000000" w:rsidR="00000000" w:rsidRPr="00000000">
              <w:rPr>
                <w:rFonts w:ascii="Arial" w:cs="Arial" w:eastAsia="Arial" w:hAnsi="Arial"/>
                <w:sz w:val="22"/>
                <w:szCs w:val="22"/>
                <w:rtl w:val="0"/>
              </w:rPr>
              <w:t xml:space="preserve">Estos documentos deberán ser auténticos, legibles, y completos. Tenga en cuenta, se entiende la titularidad y la aprobación del Contratista una vez suba el documento a la plataforma de SECOP II, por lo que no es necesario la firma. Es necesario que cada Contratista realice personalmente esta actividad siendo cuidadoso con la información registrada, que se encuentren en el orden establecido y se encuentren en formato PDF o en ZIP. </w:t>
            </w:r>
          </w:p>
          <w:p w:rsidR="00000000" w:rsidDel="00000000" w:rsidP="00000000" w:rsidRDefault="00000000" w:rsidRPr="00000000" w14:paraId="000000C2">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3">
            <w:pPr>
              <w:rPr>
                <w:rFonts w:ascii="Arial" w:cs="Arial" w:eastAsia="Arial" w:hAnsi="Arial"/>
                <w:sz w:val="22"/>
                <w:szCs w:val="22"/>
              </w:rPr>
            </w:pPr>
            <w:r w:rsidDel="00000000" w:rsidR="00000000" w:rsidRPr="00000000">
              <w:rPr>
                <w:rFonts w:ascii="Arial" w:cs="Arial" w:eastAsia="Arial" w:hAnsi="Arial"/>
                <w:sz w:val="22"/>
                <w:szCs w:val="22"/>
                <w:rtl w:val="0"/>
              </w:rPr>
              <w:t xml:space="preserve">Para los pagos, si es persona jurídica en los procesos de adquisición de bienes, obras y servicios, el Supervisor verificará que dentro del archivo GESTION FINANCIERA se encuentre la Certificación del pago de los aportes parafiscales no mayores a 30 días, firmadas por el Revisor Fiscal o Representante Legal, así como el soporte de la planilla de pago de la seguridad social. </w:t>
            </w:r>
          </w:p>
          <w:p w:rsidR="00000000" w:rsidDel="00000000" w:rsidP="00000000" w:rsidRDefault="00000000" w:rsidRPr="00000000" w14:paraId="000000C4">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5">
            <w:pPr>
              <w:rPr>
                <w:rFonts w:ascii="Arial" w:cs="Arial" w:eastAsia="Arial" w:hAnsi="Arial"/>
                <w:sz w:val="22"/>
                <w:szCs w:val="22"/>
              </w:rPr>
            </w:pPr>
            <w:r w:rsidDel="00000000" w:rsidR="00000000" w:rsidRPr="00000000">
              <w:rPr>
                <w:rFonts w:ascii="Arial" w:cs="Arial" w:eastAsia="Arial" w:hAnsi="Arial"/>
                <w:sz w:val="22"/>
                <w:szCs w:val="22"/>
                <w:rtl w:val="0"/>
              </w:rPr>
              <w:t xml:space="preserve">Si es persona natural se debe remitir el soporte de pago de su seguridad social del mes anterior del periodo objeto del cobro. </w:t>
            </w:r>
          </w:p>
          <w:p w:rsidR="00000000" w:rsidDel="00000000" w:rsidP="00000000" w:rsidRDefault="00000000" w:rsidRPr="00000000" w14:paraId="000000C6">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7">
            <w:pPr>
              <w:rPr>
                <w:rFonts w:ascii="Arial" w:cs="Arial" w:eastAsia="Arial" w:hAnsi="Arial"/>
                <w:sz w:val="22"/>
                <w:szCs w:val="22"/>
              </w:rPr>
            </w:pPr>
            <w:r w:rsidDel="00000000" w:rsidR="00000000" w:rsidRPr="00000000">
              <w:rPr>
                <w:rFonts w:ascii="Arial" w:cs="Arial" w:eastAsia="Arial" w:hAnsi="Arial"/>
                <w:sz w:val="22"/>
                <w:szCs w:val="22"/>
                <w:rtl w:val="0"/>
              </w:rPr>
              <w:t xml:space="preserve">Este documento es escaneado y subido como un tercer documento en SECOP II, siguiendo la estructura: </w:t>
            </w:r>
          </w:p>
          <w:p w:rsidR="00000000" w:rsidDel="00000000" w:rsidP="00000000" w:rsidRDefault="00000000" w:rsidRPr="00000000" w14:paraId="000000C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9">
            <w:pPr>
              <w:rPr>
                <w:rFonts w:ascii="Arial" w:cs="Arial" w:eastAsia="Arial" w:hAnsi="Arial"/>
                <w:sz w:val="22"/>
                <w:szCs w:val="22"/>
              </w:rPr>
            </w:pPr>
            <w:r w:rsidDel="00000000" w:rsidR="00000000" w:rsidRPr="00000000">
              <w:rPr>
                <w:rFonts w:ascii="Arial" w:cs="Arial" w:eastAsia="Arial" w:hAnsi="Arial"/>
                <w:sz w:val="22"/>
                <w:szCs w:val="22"/>
                <w:rtl w:val="0"/>
              </w:rPr>
              <w:t xml:space="preserve">FV_Nº Factura_NIT_ RP_MES_AÑO.pdf </w:t>
            </w:r>
          </w:p>
          <w:p w:rsidR="00000000" w:rsidDel="00000000" w:rsidP="00000000" w:rsidRDefault="00000000" w:rsidRPr="00000000" w14:paraId="000000C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B">
            <w:pPr>
              <w:rPr>
                <w:rFonts w:ascii="Arial" w:cs="Arial" w:eastAsia="Arial" w:hAnsi="Arial"/>
                <w:sz w:val="22"/>
                <w:szCs w:val="22"/>
              </w:rPr>
            </w:pPr>
            <w:r w:rsidDel="00000000" w:rsidR="00000000" w:rsidRPr="00000000">
              <w:rPr>
                <w:rFonts w:ascii="Arial" w:cs="Arial" w:eastAsia="Arial" w:hAnsi="Arial"/>
                <w:sz w:val="22"/>
                <w:szCs w:val="22"/>
                <w:rtl w:val="0"/>
              </w:rPr>
              <w:t xml:space="preserve">Solamente se confirma el "registro de la factura", cuando se encuentren los documentos cargados en SECOP II, en ese momento se dará enviar a la entidad. Si comete error, borre el registro y vuelva a efectuar la actividad hasta que se encuentre seguro que están completos los documentos y son los documentos que va a presentar como soporte de la cuenta de cobro o factura. </w:t>
            </w:r>
          </w:p>
          <w:p w:rsidR="00000000" w:rsidDel="00000000" w:rsidP="00000000" w:rsidRDefault="00000000" w:rsidRPr="00000000" w14:paraId="000000CC">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D">
            <w:pPr>
              <w:rPr>
                <w:rFonts w:ascii="Arial" w:cs="Arial" w:eastAsia="Arial" w:hAnsi="Arial"/>
                <w:sz w:val="22"/>
                <w:szCs w:val="22"/>
              </w:rPr>
            </w:pPr>
            <w:r w:rsidDel="00000000" w:rsidR="00000000" w:rsidRPr="00000000">
              <w:rPr>
                <w:rFonts w:ascii="Arial" w:cs="Arial" w:eastAsia="Arial" w:hAnsi="Arial"/>
                <w:sz w:val="22"/>
                <w:szCs w:val="22"/>
                <w:rtl w:val="0"/>
              </w:rPr>
              <w:t xml:space="preserve">Si se envía a la entidad antes de haber subido la totalidad de los documentos, se crea automáticamente otro pago, lo cual solo puede ser corregido por el Supervisor del Contrato, lo que acarreará demora en el trámite y su posterior pago. </w:t>
            </w:r>
          </w:p>
          <w:p w:rsidR="00000000" w:rsidDel="00000000" w:rsidP="00000000" w:rsidRDefault="00000000" w:rsidRPr="00000000" w14:paraId="000000CE">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F">
            <w:pPr>
              <w:rPr>
                <w:rFonts w:ascii="Arial" w:cs="Arial" w:eastAsia="Arial" w:hAnsi="Arial"/>
                <w:sz w:val="22"/>
                <w:szCs w:val="22"/>
              </w:rPr>
            </w:pPr>
            <w:r w:rsidDel="00000000" w:rsidR="00000000" w:rsidRPr="00000000">
              <w:rPr>
                <w:rFonts w:ascii="Arial" w:cs="Arial" w:eastAsia="Arial" w:hAnsi="Arial"/>
                <w:sz w:val="22"/>
                <w:szCs w:val="22"/>
                <w:rtl w:val="0"/>
              </w:rPr>
              <w:t xml:space="preserve">El Supervisor del Contrato, utilizando su usuario y contraseña, revisa los documentos que han sido enviados por los Contratistas por medio de SECOP II, este aprobará o rechazarla solicitud de pago enviada por el contratista; para esto tendrá en cuenta el cumplimiento las obligaciones contractuales suscritas en contrato o convenio, la idoneidad de los documentos enviados por el contratista y el cumplimiento de fechas. </w:t>
            </w:r>
          </w:p>
          <w:p w:rsidR="00000000" w:rsidDel="00000000" w:rsidP="00000000" w:rsidRDefault="00000000" w:rsidRPr="00000000" w14:paraId="000000D0">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1">
            <w:pPr>
              <w:rPr>
                <w:rFonts w:ascii="Arial" w:cs="Arial" w:eastAsia="Arial" w:hAnsi="Arial"/>
                <w:sz w:val="22"/>
                <w:szCs w:val="22"/>
              </w:rPr>
            </w:pPr>
            <w:r w:rsidDel="00000000" w:rsidR="00000000" w:rsidRPr="00000000">
              <w:rPr>
                <w:rFonts w:ascii="Arial" w:cs="Arial" w:eastAsia="Arial" w:hAnsi="Arial"/>
                <w:sz w:val="22"/>
                <w:szCs w:val="22"/>
                <w:rtl w:val="0"/>
              </w:rPr>
              <w:t xml:space="preserve">El Supervisor del Contrato enviará solicitud de inicio de trámite de pago por todos los demás conceptos correspondiente a adquisición de bienes, obras y servicios, al nominador una vez se cumpla el trámite correspondiente. </w:t>
            </w:r>
          </w:p>
          <w:p w:rsidR="00000000" w:rsidDel="00000000" w:rsidP="00000000" w:rsidRDefault="00000000" w:rsidRPr="00000000" w14:paraId="000000D2">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3">
            <w:pPr>
              <w:rPr>
                <w:rFonts w:ascii="Arial" w:cs="Arial" w:eastAsia="Arial" w:hAnsi="Arial"/>
                <w:sz w:val="22"/>
                <w:szCs w:val="22"/>
              </w:rPr>
            </w:pPr>
            <w:r w:rsidDel="00000000" w:rsidR="00000000" w:rsidRPr="00000000">
              <w:rPr>
                <w:rFonts w:ascii="Arial" w:cs="Arial" w:eastAsia="Arial" w:hAnsi="Arial"/>
                <w:sz w:val="22"/>
                <w:szCs w:val="22"/>
                <w:rtl w:val="0"/>
              </w:rPr>
              <w:t xml:space="preserve">Los pagos que el SENA se comprometa a efectuar están sujetos a disponibilidad de PAC, de acuerdo con las asignaciones realizadas por el Ministerio de Hacienda y Crédito Público por intermediación de la Dirección General y en concordancia a las normas vigentes. </w:t>
            </w:r>
          </w:p>
          <w:p w:rsidR="00000000" w:rsidDel="00000000" w:rsidP="00000000" w:rsidRDefault="00000000" w:rsidRPr="00000000" w14:paraId="000000D4">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5">
            <w:pPr>
              <w:rPr>
                <w:rFonts w:ascii="Arial" w:cs="Arial" w:eastAsia="Arial" w:hAnsi="Arial"/>
                <w:sz w:val="22"/>
                <w:szCs w:val="22"/>
              </w:rPr>
            </w:pPr>
            <w:r w:rsidDel="00000000" w:rsidR="00000000" w:rsidRPr="00000000">
              <w:rPr>
                <w:rFonts w:ascii="Arial" w:cs="Arial" w:eastAsia="Arial" w:hAnsi="Arial"/>
                <w:sz w:val="22"/>
                <w:szCs w:val="22"/>
                <w:rtl w:val="0"/>
              </w:rPr>
              <w:t xml:space="preserve">Cuando el contratista sea agente auto retenedor deberá informar en la factura esta condición con la finalidad de no efectuar la retención por parte del SENA Según lo estipulado en el Artículo 19 de la Ley 1150 de 2007, el SENA respetará el orden de presentación de los pagos por parte de los contratistas. No obstante, si las facturas no han sido correctamente elaboradas o no son acompañadas de los documentos requeridos para el pago, el término para el pago comenzará a contarse a partir de la fecha en la que se haya aportado el último de los documentos y estén todos diligenciados correctamente. Las demoras que se presenten en estos conceptos serán responsabilidad del contratista y no tendrán por ello derecho a pago de intereses o compensación alguna por parte del SENA. </w:t>
            </w:r>
          </w:p>
          <w:p w:rsidR="00000000" w:rsidDel="00000000" w:rsidP="00000000" w:rsidRDefault="00000000" w:rsidRPr="00000000" w14:paraId="000000D6">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7">
            <w:pPr>
              <w:rPr>
                <w:rFonts w:ascii="Arial" w:cs="Arial" w:eastAsia="Arial" w:hAnsi="Arial"/>
                <w:sz w:val="22"/>
                <w:szCs w:val="22"/>
              </w:rPr>
            </w:pPr>
            <w:r w:rsidDel="00000000" w:rsidR="00000000" w:rsidRPr="00000000">
              <w:rPr>
                <w:rFonts w:ascii="Arial" w:cs="Arial" w:eastAsia="Arial" w:hAnsi="Arial"/>
                <w:b w:val="1"/>
                <w:sz w:val="22"/>
                <w:szCs w:val="22"/>
                <w:rtl w:val="0"/>
              </w:rPr>
              <w:t xml:space="preserve">Cargas Administrativas</w:t>
            </w:r>
            <w:r w:rsidDel="00000000" w:rsidR="00000000" w:rsidRPr="00000000">
              <w:rPr>
                <w:rFonts w:ascii="Arial" w:cs="Arial" w:eastAsia="Arial" w:hAnsi="Arial"/>
                <w:sz w:val="22"/>
                <w:szCs w:val="22"/>
                <w:rtl w:val="0"/>
              </w:rPr>
              <w:t xml:space="preserve">: El contratista asumirá el valor de la expedición de pólizas y demás gastos administrativos relacionados con la ejecución del contrato. </w:t>
            </w:r>
          </w:p>
          <w:p w:rsidR="00000000" w:rsidDel="00000000" w:rsidP="00000000" w:rsidRDefault="00000000" w:rsidRPr="00000000" w14:paraId="000000D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9">
            <w:pPr>
              <w:rPr>
                <w:rFonts w:ascii="Arial" w:cs="Arial" w:eastAsia="Arial" w:hAnsi="Arial"/>
                <w:sz w:val="22"/>
                <w:szCs w:val="22"/>
              </w:rPr>
            </w:pPr>
            <w:r w:rsidDel="00000000" w:rsidR="00000000" w:rsidRPr="00000000">
              <w:rPr>
                <w:rFonts w:ascii="Arial" w:cs="Arial" w:eastAsia="Arial" w:hAnsi="Arial"/>
                <w:b w:val="1"/>
                <w:sz w:val="22"/>
                <w:szCs w:val="22"/>
                <w:rtl w:val="0"/>
              </w:rPr>
              <w:t xml:space="preserve">Cargas Tributarias</w:t>
            </w:r>
            <w:r w:rsidDel="00000000" w:rsidR="00000000" w:rsidRPr="00000000">
              <w:rPr>
                <w:rFonts w:ascii="Arial" w:cs="Arial" w:eastAsia="Arial" w:hAnsi="Arial"/>
                <w:sz w:val="22"/>
                <w:szCs w:val="22"/>
                <w:rtl w:val="0"/>
              </w:rPr>
              <w:t xml:space="preserve">: En razón a la ejecución del presente contrato, el contratista deberá asumir todas las cargas tributarias que se generen con ocasión de la celebración del contrato tales como retención en la fuente, RETEICA, RETEIVA o a las que hay lugar y este obligado según las disposiciones legales vigente para tal efecto.</w:t>
            </w:r>
          </w:p>
        </w:tc>
      </w:tr>
    </w:tbl>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B">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ANALISIS DEL SECTOR</w:t>
      </w:r>
      <w:r w:rsidDel="00000000" w:rsidR="00000000" w:rsidRPr="00000000">
        <w:rPr>
          <w:rtl w:val="0"/>
        </w:rPr>
      </w:r>
    </w:p>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D">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auto" w:val="clear"/>
        <w:spacing w:after="200" w:before="0" w:line="276" w:lineRule="auto"/>
        <w:ind w:left="360" w:right="0" w:hanging="36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ESTUDIO DEL SECTOR</w:t>
      </w:r>
    </w:p>
    <w:p w:rsidR="00000000" w:rsidDel="00000000" w:rsidP="00000000" w:rsidRDefault="00000000" w:rsidRPr="00000000" w14:paraId="000000DE">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Los aspectos generales están referidos a los distintos contextos (Económico, social, político, ambiental, regulatorio,  técnico, etc.) que pudieren incidir o tener relación con el presente proceso contractual, en este sentido las variables macroeconómicas describen cómo está siendo la actividad económica de un país, su análisis permite a los expertos prever cómo va a evolucionar la economía y su incidencia en diferentes sectores, determinando cuáles tienen más potencial o qué empresas están mejor situadas. Los indicadores nos ayudan a conocer la situación de la economía, su estructura, su nivel de competitividad y hacia dónde se dirige. La economía clásica establece que son tres los grandes sectores de la economía:</w:t>
      </w:r>
    </w:p>
    <w:p w:rsidR="00000000" w:rsidDel="00000000" w:rsidP="00000000" w:rsidRDefault="00000000" w:rsidRPr="00000000" w14:paraId="000000DF">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0">
      <w:pPr>
        <w:spacing w:line="276" w:lineRule="auto"/>
        <w:rPr>
          <w:rFonts w:ascii="Arial" w:cs="Arial" w:eastAsia="Arial" w:hAnsi="Arial"/>
          <w:sz w:val="22"/>
          <w:szCs w:val="22"/>
        </w:rPr>
      </w:pPr>
      <w:r w:rsidDel="00000000" w:rsidR="00000000" w:rsidRPr="00000000">
        <w:rPr>
          <w:rFonts w:ascii="Arial Unicode MS" w:cs="Arial Unicode MS" w:eastAsia="Arial Unicode MS" w:hAnsi="Arial Unicode MS"/>
          <w:sz w:val="22"/>
          <w:szCs w:val="22"/>
          <w:rtl w:val="0"/>
        </w:rPr>
        <w:t xml:space="preserve">➢</w:t>
      </w:r>
      <w:r w:rsidDel="00000000" w:rsidR="00000000" w:rsidRPr="00000000">
        <w:rPr>
          <w:rFonts w:ascii="Arial" w:cs="Arial" w:eastAsia="Arial" w:hAnsi="Arial"/>
          <w:sz w:val="22"/>
          <w:szCs w:val="22"/>
          <w:rtl w:val="0"/>
        </w:rPr>
        <w:t xml:space="preserve"> Sector primario o sector agropecuario.</w:t>
      </w:r>
    </w:p>
    <w:p w:rsidR="00000000" w:rsidDel="00000000" w:rsidP="00000000" w:rsidRDefault="00000000" w:rsidRPr="00000000" w14:paraId="000000E1">
      <w:pPr>
        <w:spacing w:line="276" w:lineRule="auto"/>
        <w:rPr>
          <w:rFonts w:ascii="Arial" w:cs="Arial" w:eastAsia="Arial" w:hAnsi="Arial"/>
          <w:sz w:val="22"/>
          <w:szCs w:val="22"/>
        </w:rPr>
      </w:pPr>
      <w:r w:rsidDel="00000000" w:rsidR="00000000" w:rsidRPr="00000000">
        <w:rPr>
          <w:rFonts w:ascii="Arial Unicode MS" w:cs="Arial Unicode MS" w:eastAsia="Arial Unicode MS" w:hAnsi="Arial Unicode MS"/>
          <w:sz w:val="22"/>
          <w:szCs w:val="22"/>
          <w:rtl w:val="0"/>
        </w:rPr>
        <w:t xml:space="preserve">➢</w:t>
      </w:r>
      <w:r w:rsidDel="00000000" w:rsidR="00000000" w:rsidRPr="00000000">
        <w:rPr>
          <w:rFonts w:ascii="Arial" w:cs="Arial" w:eastAsia="Arial" w:hAnsi="Arial"/>
          <w:sz w:val="22"/>
          <w:szCs w:val="22"/>
          <w:rtl w:val="0"/>
        </w:rPr>
        <w:t xml:space="preserve"> Sector secundario o sector industrial.</w:t>
      </w:r>
    </w:p>
    <w:p w:rsidR="00000000" w:rsidDel="00000000" w:rsidP="00000000" w:rsidRDefault="00000000" w:rsidRPr="00000000" w14:paraId="000000E2">
      <w:pPr>
        <w:spacing w:line="276" w:lineRule="auto"/>
        <w:rPr>
          <w:rFonts w:ascii="Arial" w:cs="Arial" w:eastAsia="Arial" w:hAnsi="Arial"/>
          <w:sz w:val="22"/>
          <w:szCs w:val="22"/>
        </w:rPr>
      </w:pPr>
      <w:r w:rsidDel="00000000" w:rsidR="00000000" w:rsidRPr="00000000">
        <w:rPr>
          <w:rFonts w:ascii="Arial Unicode MS" w:cs="Arial Unicode MS" w:eastAsia="Arial Unicode MS" w:hAnsi="Arial Unicode MS"/>
          <w:sz w:val="22"/>
          <w:szCs w:val="22"/>
          <w:rtl w:val="0"/>
        </w:rPr>
        <w:t xml:space="preserve">➢</w:t>
      </w:r>
      <w:r w:rsidDel="00000000" w:rsidR="00000000" w:rsidRPr="00000000">
        <w:rPr>
          <w:rFonts w:ascii="Arial" w:cs="Arial" w:eastAsia="Arial" w:hAnsi="Arial"/>
          <w:sz w:val="22"/>
          <w:szCs w:val="22"/>
          <w:rtl w:val="0"/>
        </w:rPr>
        <w:t xml:space="preserve"> Sector terciario o sector de servicios.</w:t>
      </w:r>
    </w:p>
    <w:p w:rsidR="00000000" w:rsidDel="00000000" w:rsidP="00000000" w:rsidRDefault="00000000" w:rsidRPr="00000000" w14:paraId="000000E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5">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Sector Primario.</w:t>
      </w:r>
    </w:p>
    <w:p w:rsidR="00000000" w:rsidDel="00000000" w:rsidP="00000000" w:rsidRDefault="00000000" w:rsidRPr="00000000" w14:paraId="000000E6">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E7">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Se denomina aquel </w:t>
      </w:r>
      <w:r w:rsidDel="00000000" w:rsidR="00000000" w:rsidRPr="00000000">
        <w:rPr>
          <w:rFonts w:ascii="Arial" w:cs="Arial" w:eastAsia="Arial" w:hAnsi="Arial"/>
          <w:b w:val="1"/>
          <w:sz w:val="22"/>
          <w:szCs w:val="22"/>
          <w:rtl w:val="0"/>
        </w:rPr>
        <w:t xml:space="preserve">sector </w:t>
      </w:r>
      <w:r w:rsidDel="00000000" w:rsidR="00000000" w:rsidRPr="00000000">
        <w:rPr>
          <w:rFonts w:ascii="Arial" w:cs="Arial" w:eastAsia="Arial" w:hAnsi="Arial"/>
          <w:sz w:val="22"/>
          <w:szCs w:val="22"/>
          <w:rtl w:val="0"/>
        </w:rPr>
        <w:t xml:space="preserve">de la economía que comprende las actividades productivas de la extracción y obtención de materias primas, como la agricultura, la ganadería, la apicultura, la acuicultura, la pesca, la minería, la silvicultura y la explotación forestal.</w:t>
      </w:r>
    </w:p>
    <w:p w:rsidR="00000000" w:rsidDel="00000000" w:rsidP="00000000" w:rsidRDefault="00000000" w:rsidRPr="00000000" w14:paraId="000000E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9">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Sector secundario o sector industrial.</w:t>
      </w:r>
    </w:p>
    <w:p w:rsidR="00000000" w:rsidDel="00000000" w:rsidP="00000000" w:rsidRDefault="00000000" w:rsidRPr="00000000" w14:paraId="000000EA">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EB">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sector secundario de una economía es el conjunto de actividades a través de las cuales las materias primas son transformadas en bienes manufacturados de consumo</w:t>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sz w:val="22"/>
          <w:szCs w:val="22"/>
          <w:rtl w:val="0"/>
        </w:rPr>
        <w:t xml:space="preserve">Este concepto suele ir muy ligado al de industria o actividad manufacturera, que produce bienes elaborados o semielaborados a partir de materias primas. Esto, mediante procesos de transformación que requieren la utilización de capital y trabajo. Por ello también se le</w:t>
      </w:r>
    </w:p>
    <w:p w:rsidR="00000000" w:rsidDel="00000000" w:rsidP="00000000" w:rsidRDefault="00000000" w:rsidRPr="00000000" w14:paraId="000000EC">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conoce como sector industrial.</w:t>
      </w:r>
    </w:p>
    <w:p w:rsidR="00000000" w:rsidDel="00000000" w:rsidP="00000000" w:rsidRDefault="00000000" w:rsidRPr="00000000" w14:paraId="000000ED">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Por lo tanto, para llevar a cabo su actividad el sector secundario suele depender del sector primario como suministrador de materias primas, y del sector terciario para financiarse y contratar servicios auxiliares.</w:t>
      </w:r>
    </w:p>
    <w:p w:rsidR="00000000" w:rsidDel="00000000" w:rsidP="00000000" w:rsidRDefault="00000000" w:rsidRPr="00000000" w14:paraId="000000EE">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Entre los subsectores encontramos el subsector de: artesanía, Industria, construcción, energía, textil, metalúrgica, entre otros más.</w:t>
      </w:r>
    </w:p>
    <w:p w:rsidR="00000000" w:rsidDel="00000000" w:rsidP="00000000" w:rsidRDefault="00000000" w:rsidRPr="00000000" w14:paraId="000000E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0">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Sector terciario o sector de servicios.</w:t>
      </w:r>
    </w:p>
    <w:p w:rsidR="00000000" w:rsidDel="00000000" w:rsidP="00000000" w:rsidRDefault="00000000" w:rsidRPr="00000000" w14:paraId="000000F1">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F2">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este sector se agrupan todas aquellas actividades que no producen un bien material en sí, pero que son necesarias para el funcionamiento de la economía como ejemplo de ello tenemos el comercio, restaurantes, - hoteles, transporte, servicios financieros, comunicaciones, servicios de educación, servicios profesionales, etc. construye la formación del PIB.</w:t>
      </w:r>
    </w:p>
    <w:p w:rsidR="00000000" w:rsidDel="00000000" w:rsidP="00000000" w:rsidRDefault="00000000" w:rsidRPr="00000000" w14:paraId="000000F3">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Sectores económicos de Colombia según actividad económica:</w:t>
      </w:r>
    </w:p>
    <w:p w:rsidR="00000000" w:rsidDel="00000000" w:rsidP="00000000" w:rsidRDefault="00000000" w:rsidRPr="00000000" w14:paraId="000000F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De estos sectores se derivan actividades económicas independientes y especializadas.</w:t>
      </w:r>
    </w:p>
    <w:p w:rsidR="00000000" w:rsidDel="00000000" w:rsidP="00000000" w:rsidRDefault="00000000" w:rsidRPr="00000000" w14:paraId="000000F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1. Sector agropecuario</w:t>
      </w:r>
    </w:p>
    <w:p w:rsidR="00000000" w:rsidDel="00000000" w:rsidP="00000000" w:rsidRDefault="00000000" w:rsidRPr="00000000" w14:paraId="000000F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2. Sector de servicios</w:t>
      </w:r>
    </w:p>
    <w:p w:rsidR="00000000" w:rsidDel="00000000" w:rsidP="00000000" w:rsidRDefault="00000000" w:rsidRPr="00000000" w14:paraId="000000F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3. Sector industrial</w:t>
      </w:r>
    </w:p>
    <w:p w:rsidR="00000000" w:rsidDel="00000000" w:rsidP="00000000" w:rsidRDefault="00000000" w:rsidRPr="00000000" w14:paraId="000000F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4. Sector de transporte</w:t>
      </w:r>
    </w:p>
    <w:p w:rsidR="00000000" w:rsidDel="00000000" w:rsidP="00000000" w:rsidRDefault="00000000" w:rsidRPr="00000000" w14:paraId="000000F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5. Sector de comercio</w:t>
      </w:r>
    </w:p>
    <w:p w:rsidR="00000000" w:rsidDel="00000000" w:rsidP="00000000" w:rsidRDefault="00000000" w:rsidRPr="00000000" w14:paraId="000000F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6. Sector financiero</w:t>
      </w:r>
    </w:p>
    <w:p w:rsidR="00000000" w:rsidDel="00000000" w:rsidP="00000000" w:rsidRDefault="00000000" w:rsidRPr="00000000" w14:paraId="000000F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7. Sector de la construcción</w:t>
      </w:r>
    </w:p>
    <w:p w:rsidR="00000000" w:rsidDel="00000000" w:rsidP="00000000" w:rsidRDefault="00000000" w:rsidRPr="00000000" w14:paraId="000000F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8. Sector minero y energético</w:t>
      </w:r>
    </w:p>
    <w:p w:rsidR="00000000" w:rsidDel="00000000" w:rsidP="00000000" w:rsidRDefault="00000000" w:rsidRPr="00000000" w14:paraId="000000F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9. Sector de comunicaciones</w:t>
      </w:r>
    </w:p>
    <w:p w:rsidR="00000000" w:rsidDel="00000000" w:rsidP="00000000" w:rsidRDefault="00000000" w:rsidRPr="00000000" w14:paraId="0000010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 ese orden de ideas podemos definir que el objeto contractual de presente proceso pertenece al Sector Construcción.</w:t>
      </w:r>
    </w:p>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3">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auto" w:val="clear"/>
        <w:spacing w:after="200" w:before="0" w:line="276"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SUBSECTOR SANEAMIENTO AMBIENTAL Y CONTROL DE PLAGAS</w:t>
      </w:r>
      <w:r w:rsidDel="00000000" w:rsidR="00000000" w:rsidRPr="00000000">
        <w:rPr>
          <w:rtl w:val="0"/>
        </w:rPr>
      </w:r>
    </w:p>
    <w:p w:rsidR="00000000" w:rsidDel="00000000" w:rsidP="00000000" w:rsidRDefault="00000000" w:rsidRPr="00000000" w14:paraId="00000104">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servicio de saneamiento ambiental y control de plagas en Colombia es una actividad especializada dentro del sector terciario, orientada a proteger la salud humana, la seguridad alimentaria y el entorno físico, mediante la prevención, control y eliminación de plagas que pueden representar riesgos sanitarios o daños estructurales.</w:t>
      </w:r>
    </w:p>
    <w:p w:rsidR="00000000" w:rsidDel="00000000" w:rsidP="00000000" w:rsidRDefault="00000000" w:rsidRPr="00000000" w14:paraId="00000105">
      <w:pPr>
        <w:pBdr>
          <w:top w:space="0" w:sz="0" w:val="nil"/>
          <w:left w:space="0" w:sz="0" w:val="nil"/>
          <w:bottom w:space="0" w:sz="0" w:val="nil"/>
          <w:right w:space="0" w:sz="0" w:val="nil"/>
          <w:between w:space="0" w:sz="0" w:val="nil"/>
        </w:pBdr>
        <w:rPr>
          <w:rFonts w:ascii="Arial" w:cs="Arial" w:eastAsia="Arial" w:hAnsi="Arial"/>
          <w:b w:val="1"/>
          <w:highlight w:val="yellow"/>
        </w:rPr>
      </w:pPr>
      <w:r w:rsidDel="00000000" w:rsidR="00000000" w:rsidRPr="00000000">
        <w:rPr>
          <w:rtl w:val="0"/>
        </w:rPr>
      </w:r>
    </w:p>
    <w:p w:rsidR="00000000" w:rsidDel="00000000" w:rsidP="00000000" w:rsidRDefault="00000000" w:rsidRPr="00000000" w14:paraId="00000106">
      <w:pPr>
        <w:pBdr>
          <w:top w:space="0" w:sz="0" w:val="nil"/>
          <w:left w:space="0" w:sz="0" w:val="nil"/>
          <w:bottom w:space="0" w:sz="0" w:val="nil"/>
          <w:right w:space="0" w:sz="0" w:val="nil"/>
          <w:between w:space="0" w:sz="0" w:val="nil"/>
        </w:pBdr>
        <w:jc w:val="both"/>
        <w:rPr>
          <w:rFonts w:ascii="Arial" w:cs="Arial" w:eastAsia="Arial" w:hAnsi="Arial"/>
          <w:sz w:val="22"/>
          <w:szCs w:val="22"/>
          <w:highlight w:val="yellow"/>
        </w:rPr>
      </w:pPr>
      <w:r w:rsidDel="00000000" w:rsidR="00000000" w:rsidRPr="00000000">
        <w:rPr>
          <w:rFonts w:ascii="Arial" w:cs="Arial" w:eastAsia="Arial" w:hAnsi="Arial"/>
          <w:sz w:val="22"/>
          <w:szCs w:val="22"/>
          <w:rtl w:val="0"/>
        </w:rPr>
        <w:t xml:space="preserve">Resalta la Importancia del servicio dado a que Previene enfermedades transmitidas por vectores (como el dengue, zika, leptospirosis), protege alimentos, estructuras e infraestructuras de daños causados por plagas, mejora la salubridad ambiental en zonas urbanas y rurales y es clave en sectores como agroindustria, salud, educación, turismo, vivienda y alimentos.</w:t>
      </w:r>
      <w:r w:rsidDel="00000000" w:rsidR="00000000" w:rsidRPr="00000000">
        <w:rPr>
          <w:rtl w:val="0"/>
        </w:rPr>
      </w:r>
    </w:p>
    <w:p w:rsidR="00000000" w:rsidDel="00000000" w:rsidP="00000000" w:rsidRDefault="00000000" w:rsidRPr="00000000" w14:paraId="00000107">
      <w:pPr>
        <w:pBdr>
          <w:top w:space="0" w:sz="0" w:val="nil"/>
          <w:left w:space="0" w:sz="0" w:val="nil"/>
          <w:bottom w:space="0" w:sz="0" w:val="nil"/>
          <w:right w:space="0" w:sz="0" w:val="nil"/>
          <w:between w:space="0" w:sz="0" w:val="nil"/>
        </w:pBdr>
        <w:rPr>
          <w:rFonts w:ascii="Arial" w:cs="Arial" w:eastAsia="Arial" w:hAnsi="Arial"/>
          <w:b w:val="1"/>
          <w:highlight w:val="yellow"/>
        </w:rPr>
      </w:pPr>
      <w:r w:rsidDel="00000000" w:rsidR="00000000" w:rsidRPr="00000000">
        <w:rPr>
          <w:rtl w:val="0"/>
        </w:rPr>
      </w:r>
    </w:p>
    <w:p w:rsidR="00000000" w:rsidDel="00000000" w:rsidP="00000000" w:rsidRDefault="00000000" w:rsidRPr="00000000" w14:paraId="00000108">
      <w:pPr>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Principales tendencias en el mercado Pest Control:</w:t>
      </w:r>
    </w:p>
    <w:p w:rsidR="00000000" w:rsidDel="00000000" w:rsidP="00000000" w:rsidRDefault="00000000" w:rsidRPr="00000000" w14:paraId="00000109">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A">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Gestión de plagas integradas (IPM): es un enfoque holístico para el control de plagas que se centra en la prevención, el monitoreo y el control. IPM enfatiza el uso de métodos no químicos, como la modificación del hábitat y el control biológico, para reducir las poblaciones de plagas. Esta tendencia está impulsada por crecientes preocupaciones sobre los impactos ambientales y de salud de los métodos tradicionales de control de plagas. Las compañías de control de plagas están adoptando estrategias IPM para proporcionar soluciones de control de plagas efectivas y respetuosas con el medio ambiente a sus clientes.</w:t>
      </w:r>
    </w:p>
    <w:p w:rsidR="00000000" w:rsidDel="00000000" w:rsidP="00000000" w:rsidRDefault="00000000" w:rsidRPr="00000000" w14:paraId="0000010B">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C">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D">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Uso de productos de control de plagas ecológicos: Hay una creciente demanda de productos de control de plagas ecológicos que son seguros para los humanos, las mascotas y el medio ambiente. Como resultado, las compañías de control de plagas utilizan cada vez más productos naturales y orgánicos, como insecticidas y biopesticidas basados ​​en botánicos, para controlar las plagas. Estos productos son efectivos para atacar las plagas al tiempo que minimizan el riesgo de exposición a productos químicos dañinos.</w:t>
      </w:r>
    </w:p>
    <w:p w:rsidR="00000000" w:rsidDel="00000000" w:rsidP="00000000" w:rsidRDefault="00000000" w:rsidRPr="00000000" w14:paraId="0000010E">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F">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Integración tecnológica: la tecnología está desempeñando un papel cada vez más importante en la industria de control de plagas. Las compañías de control de plagas están adoptando tecnologías avanzadas, como sistemas de monitoreo remoto, drones y software de mapeo digital, para mejorar la eficiencia y la efectividad de los servicios de control de plagas. Estas tecnologías permiten a las empresas de control de plagas monitorear la actividad de plagas en tiempo real, los tratamientos objetivo con mayor precisión y proporcionar un mejor servicio a sus clientes.</w:t>
      </w:r>
    </w:p>
    <w:p w:rsidR="00000000" w:rsidDel="00000000" w:rsidP="00000000" w:rsidRDefault="00000000" w:rsidRPr="00000000" w14:paraId="00000110">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1">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Concéntrese en la prevención de plagas: la prevención es clave para un control efectivo de plagas. Las compañías de control de plagas están poniendo un mayor énfasis en las medidas de prevención de plagas, como el sellado de puntos de entrada, eliminar las fuentes de alimentos y agua e implementar prácticas de saneamiento. Al evitar que las plagas ingresen a una propiedad en primer lugar, las compañías de control de plagas pueden reducir la necesidad de tratamientos químicos y minimizar el riesgo de infestaciones.</w:t>
      </w:r>
    </w:p>
    <w:p w:rsidR="00000000" w:rsidDel="00000000" w:rsidP="00000000" w:rsidRDefault="00000000" w:rsidRPr="00000000" w14:paraId="00000112">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3">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Mayor demanda de control de chinches: las chinches continúan siendo una preocupación importante para los propietarios y negocios. El aumento en los viajes internacionales y el desarrollo de la resistencia a los pesticidas han contribuido a un resurgimiento en las infestaciones de chinches. Las compañías de control de plagas están invirtiendo en capacitación y equipos especializados para detectar y tratar de manera efectiva las infestaciones de chinches, satisfaciendo la creciente demanda de servicios de control de chinches.</w:t>
      </w:r>
    </w:p>
    <w:p w:rsidR="00000000" w:rsidDel="00000000" w:rsidP="00000000" w:rsidRDefault="00000000" w:rsidRPr="00000000" w14:paraId="00000114">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5">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Crecimiento del mercado de control de plagas comerciales: el mercado comercial de control de plagas está experimentando un crecimiento significativo, impulsado por una mayor conciencia de la importancia del control de plagas para mantener un entorno seguro e higiénico. Las compañías de control de plagas están expandiendo sus servicios para satisfacer las necesidades específicas de los clientes comerciales, como restaurantes, hoteles, hospitales e instalaciones de procesamiento de alimentos. Se espera que esta tendencia continúe a medida que las empresas ponen un mayor énfasis en la prevención de plagas y el cumplimiento regulatorio.</w:t>
      </w:r>
    </w:p>
    <w:p w:rsidR="00000000" w:rsidDel="00000000" w:rsidP="00000000" w:rsidRDefault="00000000" w:rsidRPr="00000000" w14:paraId="00000116">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7">
      <w:pPr>
        <w:pBdr>
          <w:top w:space="0" w:sz="0" w:val="nil"/>
          <w:left w:space="0" w:sz="0" w:val="nil"/>
          <w:bottom w:space="0" w:sz="0" w:val="nil"/>
          <w:right w:space="0" w:sz="0" w:val="nil"/>
          <w:between w:space="0" w:sz="0" w:val="nil"/>
        </w:pBdr>
        <w:jc w:val="both"/>
        <w:rPr>
          <w:rFonts w:ascii="Arial" w:cs="Arial" w:eastAsia="Arial" w:hAnsi="Arial"/>
          <w:sz w:val="22"/>
          <w:szCs w:val="22"/>
          <w:highlight w:val="yellow"/>
        </w:rPr>
      </w:pPr>
      <w:r w:rsidDel="00000000" w:rsidR="00000000" w:rsidRPr="00000000">
        <w:rPr>
          <w:rFonts w:ascii="Arial" w:cs="Arial" w:eastAsia="Arial" w:hAnsi="Arial"/>
          <w:sz w:val="22"/>
          <w:szCs w:val="22"/>
          <w:rtl w:val="0"/>
        </w:rPr>
        <w:t xml:space="preserve">Énfasis en la educación y la comunicación del cliente: la educación y la comunicación del cliente se están volviendo cada vez más importantes en la industria de control de plagas. Las empresas de control de plagas están invirtiendo en recursos educativos, como tutoriales en línea y materiales informativos, para ayudar a los clientes a comprender la importancia del control de plagas y cómo pueden prevenir infestaciones. Los canales de comunicación mejorados, como el chat en línea y las redes sociales, también se están utilizando para proporcionar información oportuna y relevante a los clientes.</w:t>
      </w:r>
      <w:r w:rsidDel="00000000" w:rsidR="00000000" w:rsidRPr="00000000">
        <w:rPr>
          <w:rtl w:val="0"/>
        </w:rPr>
      </w:r>
    </w:p>
    <w:p w:rsidR="00000000" w:rsidDel="00000000" w:rsidP="00000000" w:rsidRDefault="00000000" w:rsidRPr="00000000" w14:paraId="00000118">
      <w:pPr>
        <w:pBdr>
          <w:top w:space="0" w:sz="0" w:val="nil"/>
          <w:left w:space="0" w:sz="0" w:val="nil"/>
          <w:bottom w:space="0" w:sz="0" w:val="nil"/>
          <w:right w:space="0" w:sz="0" w:val="nil"/>
          <w:between w:space="0" w:sz="0" w:val="nil"/>
        </w:pBdr>
        <w:jc w:val="both"/>
        <w:rPr>
          <w:rFonts w:ascii="Arial" w:cs="Arial" w:eastAsia="Arial" w:hAnsi="Arial"/>
          <w:sz w:val="22"/>
          <w:szCs w:val="22"/>
          <w:highlight w:val="yellow"/>
        </w:rPr>
      </w:pPr>
      <w:r w:rsidDel="00000000" w:rsidR="00000000" w:rsidRPr="00000000">
        <w:rPr>
          <w:rtl w:val="0"/>
        </w:rPr>
      </w:r>
    </w:p>
    <w:p w:rsidR="00000000" w:rsidDel="00000000" w:rsidP="00000000" w:rsidRDefault="00000000" w:rsidRPr="00000000" w14:paraId="00000119">
      <w:pPr>
        <w:pBdr>
          <w:top w:space="0" w:sz="0" w:val="nil"/>
          <w:left w:space="0" w:sz="0" w:val="nil"/>
          <w:bottom w:space="0" w:sz="0" w:val="nil"/>
          <w:right w:space="0" w:sz="0" w:val="nil"/>
          <w:between w:space="0" w:sz="0" w:val="nil"/>
        </w:pBd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Distribución de empresas fumigadoras en Colombia según facturación;</w:t>
      </w:r>
    </w:p>
    <w:p w:rsidR="00000000" w:rsidDel="00000000" w:rsidP="00000000" w:rsidRDefault="00000000" w:rsidRPr="00000000" w14:paraId="0000011A">
      <w:pPr>
        <w:pBdr>
          <w:top w:space="0" w:sz="0" w:val="nil"/>
          <w:left w:space="0" w:sz="0" w:val="nil"/>
          <w:bottom w:space="0" w:sz="0" w:val="nil"/>
          <w:right w:space="0" w:sz="0" w:val="nil"/>
          <w:between w:space="0" w:sz="0" w:val="nil"/>
        </w:pBd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1B">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Pequeñas: 10 496</w:t>
      </w:r>
    </w:p>
    <w:p w:rsidR="00000000" w:rsidDel="00000000" w:rsidP="00000000" w:rsidRDefault="00000000" w:rsidRPr="00000000" w14:paraId="0000011C">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Medianas: 696</w:t>
      </w:r>
    </w:p>
    <w:p w:rsidR="00000000" w:rsidDel="00000000" w:rsidP="00000000" w:rsidRDefault="00000000" w:rsidRPr="00000000" w14:paraId="0000011D">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Grandes: 221</w:t>
      </w:r>
    </w:p>
    <w:p w:rsidR="00000000" w:rsidDel="00000000" w:rsidP="00000000" w:rsidRDefault="00000000" w:rsidRPr="00000000" w14:paraId="0000011E">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Corporativas: 118</w:t>
      </w:r>
    </w:p>
    <w:p w:rsidR="00000000" w:rsidDel="00000000" w:rsidP="00000000" w:rsidRDefault="00000000" w:rsidRPr="00000000" w14:paraId="0000011F">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tl w:val="0"/>
        </w:rPr>
      </w:r>
    </w:p>
    <w:p w:rsidR="00000000" w:rsidDel="00000000" w:rsidP="00000000" w:rsidRDefault="00000000" w:rsidRPr="00000000" w14:paraId="00000120">
      <w:pPr>
        <w:pBdr>
          <w:top w:space="0" w:sz="0" w:val="nil"/>
          <w:left w:space="0" w:sz="0" w:val="nil"/>
          <w:bottom w:space="0" w:sz="0" w:val="nil"/>
          <w:right w:space="0" w:sz="0" w:val="nil"/>
          <w:between w:space="0" w:sz="0" w:val="nil"/>
        </w:pBd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Distribución geográfica por departamento (categoría “De Fumigación” corporativas):</w:t>
      </w:r>
    </w:p>
    <w:p w:rsidR="00000000" w:rsidDel="00000000" w:rsidP="00000000" w:rsidRDefault="00000000" w:rsidRPr="00000000" w14:paraId="00000121">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tl w:val="0"/>
        </w:rPr>
      </w:r>
    </w:p>
    <w:p w:rsidR="00000000" w:rsidDel="00000000" w:rsidP="00000000" w:rsidRDefault="00000000" w:rsidRPr="00000000" w14:paraId="00000122">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Bogotá: 10 103</w:t>
      </w:r>
    </w:p>
    <w:p w:rsidR="00000000" w:rsidDel="00000000" w:rsidP="00000000" w:rsidRDefault="00000000" w:rsidRPr="00000000" w14:paraId="00000123">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Antioquia: 3 778</w:t>
      </w:r>
    </w:p>
    <w:p w:rsidR="00000000" w:rsidDel="00000000" w:rsidP="00000000" w:rsidRDefault="00000000" w:rsidRPr="00000000" w14:paraId="00000124">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Valle del Cauca: 2 368</w:t>
      </w:r>
    </w:p>
    <w:p w:rsidR="00000000" w:rsidDel="00000000" w:rsidP="00000000" w:rsidRDefault="00000000" w:rsidRPr="00000000" w14:paraId="00000125">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Atlántico: 2 090</w:t>
      </w:r>
    </w:p>
    <w:p w:rsidR="00000000" w:rsidDel="00000000" w:rsidP="00000000" w:rsidRDefault="00000000" w:rsidRPr="00000000" w14:paraId="00000126">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Santander: 1 735</w:t>
      </w:r>
    </w:p>
    <w:p w:rsidR="00000000" w:rsidDel="00000000" w:rsidP="00000000" w:rsidRDefault="00000000" w:rsidRPr="00000000" w14:paraId="00000127">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Cundinamarca: 1 598</w:t>
      </w:r>
    </w:p>
    <w:p w:rsidR="00000000" w:rsidDel="00000000" w:rsidP="00000000" w:rsidRDefault="00000000" w:rsidRPr="00000000" w14:paraId="00000128">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Bolívar: 1 595</w:t>
      </w:r>
    </w:p>
    <w:p w:rsidR="00000000" w:rsidDel="00000000" w:rsidP="00000000" w:rsidRDefault="00000000" w:rsidRPr="00000000" w14:paraId="00000129">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Córdoba: 998</w:t>
      </w:r>
    </w:p>
    <w:p w:rsidR="00000000" w:rsidDel="00000000" w:rsidP="00000000" w:rsidRDefault="00000000" w:rsidRPr="00000000" w14:paraId="0000012A">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Boyacá: 917</w:t>
      </w:r>
    </w:p>
    <w:p w:rsidR="00000000" w:rsidDel="00000000" w:rsidP="00000000" w:rsidRDefault="00000000" w:rsidRPr="00000000" w14:paraId="0000012B">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Cauca: 842</w:t>
      </w:r>
    </w:p>
    <w:p w:rsidR="00000000" w:rsidDel="00000000" w:rsidP="00000000" w:rsidRDefault="00000000" w:rsidRPr="00000000" w14:paraId="0000012C">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Cesar: 824</w:t>
      </w:r>
    </w:p>
    <w:p w:rsidR="00000000" w:rsidDel="00000000" w:rsidP="00000000" w:rsidRDefault="00000000" w:rsidRPr="00000000" w14:paraId="0000012D">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Sucre: 789</w:t>
      </w:r>
    </w:p>
    <w:p w:rsidR="00000000" w:rsidDel="00000000" w:rsidP="00000000" w:rsidRDefault="00000000" w:rsidRPr="00000000" w14:paraId="0000012E">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Huila: 781</w:t>
      </w:r>
    </w:p>
    <w:p w:rsidR="00000000" w:rsidDel="00000000" w:rsidP="00000000" w:rsidRDefault="00000000" w:rsidRPr="00000000" w14:paraId="0000012F">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Nariño: 776</w:t>
      </w:r>
    </w:p>
    <w:p w:rsidR="00000000" w:rsidDel="00000000" w:rsidP="00000000" w:rsidRDefault="00000000" w:rsidRPr="00000000" w14:paraId="00000130">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Tolima: 729</w:t>
      </w:r>
    </w:p>
    <w:p w:rsidR="00000000" w:rsidDel="00000000" w:rsidP="00000000" w:rsidRDefault="00000000" w:rsidRPr="00000000" w14:paraId="00000131">
      <w:pPr>
        <w:pBdr>
          <w:top w:space="0" w:sz="0" w:val="nil"/>
          <w:left w:space="0" w:sz="0" w:val="nil"/>
          <w:bottom w:space="0" w:sz="0" w:val="nil"/>
          <w:right w:space="0" w:sz="0" w:val="nil"/>
          <w:between w:space="0" w:sz="0" w:val="nil"/>
        </w:pBdr>
        <w:rPr>
          <w:rFonts w:ascii="Arial" w:cs="Arial" w:eastAsia="Arial" w:hAnsi="Arial"/>
          <w:sz w:val="22"/>
          <w:szCs w:val="22"/>
          <w:highlight w:val="yellow"/>
        </w:rPr>
      </w:pPr>
      <w:r w:rsidDel="00000000" w:rsidR="00000000" w:rsidRPr="00000000">
        <w:rPr>
          <w:rtl w:val="0"/>
        </w:rPr>
      </w:r>
    </w:p>
    <w:p w:rsidR="00000000" w:rsidDel="00000000" w:rsidP="00000000" w:rsidRDefault="00000000" w:rsidRPr="00000000" w14:paraId="00000132">
      <w:pPr>
        <w:pBdr>
          <w:top w:space="0" w:sz="0" w:val="nil"/>
          <w:left w:space="0" w:sz="0" w:val="nil"/>
          <w:bottom w:space="0" w:sz="0" w:val="nil"/>
          <w:right w:space="0" w:sz="0" w:val="nil"/>
          <w:between w:space="0" w:sz="0" w:val="nil"/>
        </w:pBd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Resumen numérico:</w:t>
      </w:r>
    </w:p>
    <w:p w:rsidR="00000000" w:rsidDel="00000000" w:rsidP="00000000" w:rsidRDefault="00000000" w:rsidRPr="00000000" w14:paraId="00000133">
      <w:pPr>
        <w:pBdr>
          <w:top w:space="0" w:sz="0" w:val="nil"/>
          <w:left w:space="0" w:sz="0" w:val="nil"/>
          <w:bottom w:space="0" w:sz="0" w:val="nil"/>
          <w:right w:space="0" w:sz="0" w:val="nil"/>
          <w:between w:space="0" w:sz="0" w:val="nil"/>
        </w:pBdr>
        <w:rPr>
          <w:rFonts w:ascii="Arial" w:cs="Arial" w:eastAsia="Arial" w:hAnsi="Arial"/>
          <w:b w:val="1"/>
          <w:sz w:val="22"/>
          <w:szCs w:val="22"/>
        </w:rPr>
      </w:pPr>
      <w:r w:rsidDel="00000000" w:rsidR="00000000" w:rsidRPr="00000000">
        <w:rPr>
          <w:rtl w:val="0"/>
        </w:rPr>
      </w:r>
    </w:p>
    <w:tbl>
      <w:tblPr>
        <w:tblStyle w:val="Table4"/>
        <w:tblW w:w="76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56"/>
        <w:gridCol w:w="1071"/>
        <w:gridCol w:w="1034"/>
        <w:gridCol w:w="924"/>
        <w:gridCol w:w="1343"/>
        <w:tblGridChange w:id="0">
          <w:tblGrid>
            <w:gridCol w:w="3256"/>
            <w:gridCol w:w="1071"/>
            <w:gridCol w:w="1034"/>
            <w:gridCol w:w="924"/>
            <w:gridCol w:w="1343"/>
          </w:tblGrid>
        </w:tblGridChange>
      </w:tblGrid>
      <w:tr>
        <w:trPr>
          <w:cantSplit w:val="0"/>
          <w:tblHeader w:val="1"/>
        </w:trPr>
        <w:tc>
          <w:tcPr>
            <w:vAlign w:val="center"/>
          </w:tcPr>
          <w:p w:rsidR="00000000" w:rsidDel="00000000" w:rsidP="00000000" w:rsidRDefault="00000000" w:rsidRPr="00000000" w14:paraId="00000134">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Categoría</w:t>
            </w:r>
          </w:p>
        </w:tc>
        <w:tc>
          <w:tcPr>
            <w:vAlign w:val="center"/>
          </w:tcPr>
          <w:p w:rsidR="00000000" w:rsidDel="00000000" w:rsidP="00000000" w:rsidRDefault="00000000" w:rsidRPr="00000000" w14:paraId="00000135">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Pequeñas</w:t>
            </w:r>
          </w:p>
        </w:tc>
        <w:tc>
          <w:tcPr>
            <w:vAlign w:val="center"/>
          </w:tcPr>
          <w:p w:rsidR="00000000" w:rsidDel="00000000" w:rsidP="00000000" w:rsidRDefault="00000000" w:rsidRPr="00000000" w14:paraId="00000136">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Medianas</w:t>
            </w:r>
          </w:p>
        </w:tc>
        <w:tc>
          <w:tcPr>
            <w:vAlign w:val="center"/>
          </w:tcPr>
          <w:p w:rsidR="00000000" w:rsidDel="00000000" w:rsidP="00000000" w:rsidRDefault="00000000" w:rsidRPr="00000000" w14:paraId="00000137">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Grandes</w:t>
            </w:r>
          </w:p>
        </w:tc>
        <w:tc>
          <w:tcPr>
            <w:vAlign w:val="center"/>
          </w:tcPr>
          <w:p w:rsidR="00000000" w:rsidDel="00000000" w:rsidP="00000000" w:rsidRDefault="00000000" w:rsidRPr="00000000" w14:paraId="00000138">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Corporativas</w:t>
            </w:r>
          </w:p>
        </w:tc>
      </w:tr>
      <w:tr>
        <w:trPr>
          <w:cantSplit w:val="0"/>
          <w:tblHeader w:val="0"/>
        </w:trPr>
        <w:tc>
          <w:tcPr>
            <w:vAlign w:val="center"/>
          </w:tcPr>
          <w:p w:rsidR="00000000" w:rsidDel="00000000" w:rsidP="00000000" w:rsidRDefault="00000000" w:rsidRPr="00000000" w14:paraId="00000139">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Fumigación / De-fumigación</w:t>
            </w:r>
          </w:p>
        </w:tc>
        <w:tc>
          <w:tcPr>
            <w:vAlign w:val="center"/>
          </w:tcPr>
          <w:p w:rsidR="00000000" w:rsidDel="00000000" w:rsidP="00000000" w:rsidRDefault="00000000" w:rsidRPr="00000000" w14:paraId="0000013A">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9 759</w:t>
            </w:r>
          </w:p>
        </w:tc>
        <w:tc>
          <w:tcPr>
            <w:vAlign w:val="center"/>
          </w:tcPr>
          <w:p w:rsidR="00000000" w:rsidDel="00000000" w:rsidP="00000000" w:rsidRDefault="00000000" w:rsidRPr="00000000" w14:paraId="0000013B">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621</w:t>
            </w:r>
          </w:p>
        </w:tc>
        <w:tc>
          <w:tcPr>
            <w:vAlign w:val="center"/>
          </w:tcPr>
          <w:p w:rsidR="00000000" w:rsidDel="00000000" w:rsidP="00000000" w:rsidRDefault="00000000" w:rsidRPr="00000000" w14:paraId="0000013C">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200</w:t>
            </w:r>
          </w:p>
        </w:tc>
        <w:tc>
          <w:tcPr>
            <w:vAlign w:val="center"/>
          </w:tcPr>
          <w:p w:rsidR="00000000" w:rsidDel="00000000" w:rsidP="00000000" w:rsidRDefault="00000000" w:rsidRPr="00000000" w14:paraId="0000013D">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101</w:t>
            </w:r>
          </w:p>
        </w:tc>
      </w:tr>
      <w:tr>
        <w:trPr>
          <w:cantSplit w:val="0"/>
          <w:tblHeader w:val="0"/>
        </w:trPr>
        <w:tc>
          <w:tcPr>
            <w:vAlign w:val="center"/>
          </w:tcPr>
          <w:p w:rsidR="00000000" w:rsidDel="00000000" w:rsidP="00000000" w:rsidRDefault="00000000" w:rsidRPr="00000000" w14:paraId="0000013E">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Fumigaciones (variante)</w:t>
            </w:r>
          </w:p>
        </w:tc>
        <w:tc>
          <w:tcPr>
            <w:vAlign w:val="center"/>
          </w:tcPr>
          <w:p w:rsidR="00000000" w:rsidDel="00000000" w:rsidP="00000000" w:rsidRDefault="00000000" w:rsidRPr="00000000" w14:paraId="0000013F">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109</w:t>
            </w:r>
          </w:p>
        </w:tc>
        <w:tc>
          <w:tcPr>
            <w:vAlign w:val="center"/>
          </w:tcPr>
          <w:p w:rsidR="00000000" w:rsidDel="00000000" w:rsidP="00000000" w:rsidRDefault="00000000" w:rsidRPr="00000000" w14:paraId="00000140">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4</w:t>
            </w:r>
          </w:p>
        </w:tc>
        <w:tc>
          <w:tcPr>
            <w:vAlign w:val="center"/>
          </w:tcPr>
          <w:p w:rsidR="00000000" w:rsidDel="00000000" w:rsidP="00000000" w:rsidRDefault="00000000" w:rsidRPr="00000000" w14:paraId="00000141">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w:t>
            </w:r>
          </w:p>
        </w:tc>
        <w:tc>
          <w:tcPr>
            <w:vAlign w:val="center"/>
          </w:tcPr>
          <w:p w:rsidR="00000000" w:rsidDel="00000000" w:rsidP="00000000" w:rsidRDefault="00000000" w:rsidRPr="00000000" w14:paraId="00000142">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w:t>
            </w:r>
          </w:p>
        </w:tc>
      </w:tr>
      <w:tr>
        <w:trPr>
          <w:cantSplit w:val="0"/>
          <w:tblHeader w:val="0"/>
        </w:trPr>
        <w:tc>
          <w:tcPr>
            <w:vAlign w:val="center"/>
          </w:tcPr>
          <w:p w:rsidR="00000000" w:rsidDel="00000000" w:rsidP="00000000" w:rsidRDefault="00000000" w:rsidRPr="00000000" w14:paraId="00000143">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Control de plagas</w:t>
            </w:r>
          </w:p>
        </w:tc>
        <w:tc>
          <w:tcPr>
            <w:vAlign w:val="center"/>
          </w:tcPr>
          <w:p w:rsidR="00000000" w:rsidDel="00000000" w:rsidP="00000000" w:rsidRDefault="00000000" w:rsidRPr="00000000" w14:paraId="00000144">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10 496</w:t>
            </w:r>
          </w:p>
        </w:tc>
        <w:tc>
          <w:tcPr>
            <w:vAlign w:val="center"/>
          </w:tcPr>
          <w:p w:rsidR="00000000" w:rsidDel="00000000" w:rsidP="00000000" w:rsidRDefault="00000000" w:rsidRPr="00000000" w14:paraId="00000145">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696</w:t>
            </w:r>
          </w:p>
        </w:tc>
        <w:tc>
          <w:tcPr>
            <w:vAlign w:val="center"/>
          </w:tcPr>
          <w:p w:rsidR="00000000" w:rsidDel="00000000" w:rsidP="00000000" w:rsidRDefault="00000000" w:rsidRPr="00000000" w14:paraId="00000146">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221</w:t>
            </w:r>
          </w:p>
        </w:tc>
        <w:tc>
          <w:tcPr>
            <w:vAlign w:val="center"/>
          </w:tcPr>
          <w:p w:rsidR="00000000" w:rsidDel="00000000" w:rsidP="00000000" w:rsidRDefault="00000000" w:rsidRPr="00000000" w14:paraId="00000147">
            <w:pPr>
              <w:pBdr>
                <w:top w:space="0" w:sz="0" w:val="nil"/>
                <w:left w:space="0" w:sz="0" w:val="nil"/>
                <w:bottom w:space="0" w:sz="0" w:val="nil"/>
                <w:right w:space="0" w:sz="0" w:val="nil"/>
                <w:between w:space="0" w:sz="0" w:val="nil"/>
              </w:pBdr>
              <w:rPr>
                <w:rFonts w:ascii="Arial" w:cs="Arial" w:eastAsia="Arial" w:hAnsi="Arial"/>
                <w:sz w:val="22"/>
                <w:szCs w:val="22"/>
              </w:rPr>
            </w:pPr>
            <w:r w:rsidDel="00000000" w:rsidR="00000000" w:rsidRPr="00000000">
              <w:rPr>
                <w:rFonts w:ascii="Arial" w:cs="Arial" w:eastAsia="Arial" w:hAnsi="Arial"/>
                <w:sz w:val="22"/>
                <w:szCs w:val="22"/>
                <w:rtl w:val="0"/>
              </w:rPr>
              <w:t xml:space="preserve">118</w:t>
            </w:r>
          </w:p>
        </w:tc>
      </w:tr>
    </w:tbl>
    <w:p w:rsidR="00000000" w:rsidDel="00000000" w:rsidP="00000000" w:rsidRDefault="00000000" w:rsidRPr="00000000" w14:paraId="00000148">
      <w:pPr>
        <w:pBdr>
          <w:top w:space="0" w:sz="0" w:val="nil"/>
          <w:left w:space="0" w:sz="0" w:val="nil"/>
          <w:bottom w:space="0" w:sz="0" w:val="nil"/>
          <w:right w:space="0" w:sz="0" w:val="nil"/>
          <w:between w:space="0" w:sz="0" w:val="nil"/>
        </w:pBd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49">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Conclusión, existen aproximadamente 9 759 pequeñas empresas especializadas en fumigación, junto a 821 medianas/grandes/corporativas. Si incluimos el rubro más amplio de control de plagas, el total asciende a unas 11 600+ empresas. Territorialmente. Bogotá lidera, seguida por Antioquia, Valle y Atlántico; Tolima registra 729 empresas, lo que indica una oferta local sólida.</w:t>
      </w:r>
    </w:p>
    <w:p w:rsidR="00000000" w:rsidDel="00000000" w:rsidP="00000000" w:rsidRDefault="00000000" w:rsidRPr="00000000" w14:paraId="0000014A">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B">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ASPECTOS GENERALES DEL MERCADO</w:t>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D">
      <w:pPr>
        <w:keepNext w:val="0"/>
        <w:keepLines w:val="0"/>
        <w:pageBreakBefore w:val="0"/>
        <w:widowControl w:val="1"/>
        <w:numPr>
          <w:ilvl w:val="1"/>
          <w:numId w:val="35"/>
        </w:numPr>
        <w:pBdr>
          <w:top w:space="0" w:sz="0" w:val="nil"/>
          <w:left w:space="0" w:sz="0" w:val="nil"/>
          <w:bottom w:space="0" w:sz="0" w:val="nil"/>
          <w:right w:space="0" w:sz="0" w:val="nil"/>
          <w:between w:space="0" w:sz="0" w:val="nil"/>
        </w:pBdr>
        <w:shd w:fill="auto" w:val="clear"/>
        <w:spacing w:after="200" w:before="0" w:line="276" w:lineRule="auto"/>
        <w:ind w:left="426" w:right="0" w:hanging="426"/>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INDICADORES ECONÓMICOS</w:t>
      </w:r>
    </w:p>
    <w:p w:rsidR="00000000" w:rsidDel="00000000" w:rsidP="00000000" w:rsidRDefault="00000000" w:rsidRPr="00000000" w14:paraId="0000014E">
      <w:pPr>
        <w:spacing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Inflación, mercado laboral, déficit fiscal y tendencias sectoriales</w:t>
      </w:r>
    </w:p>
    <w:p w:rsidR="00000000" w:rsidDel="00000000" w:rsidP="00000000" w:rsidRDefault="00000000" w:rsidRPr="00000000" w14:paraId="0000014F">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0">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variación anual de 2024 se situó en 5,22%, una notable reducción frente al 9,28% de 2023. Los sectores que más contribuyeron a esta variación anual fueron el alojamiento y electricidad, con un crecimiento de 6,96% que aportó 2,13 puntos porcentuales. Los restaurantes y hoteles ocuparon el segundo lugar, con una variación de 7,87% y un aporte de 0,85 puntos. En tercer lugar, el transporte tuvo una variación de 5,19%, representando 0,70 puntos. Por su parte, los alimentos y bebidas no alcohólicas registraron un aporte de 0,63 puntos porcentuales con una variación de 3,31%. Otros sectores destacados fueron la educación, con la mayor variación del año (10,62%), y las bebidas alcohólicas y tabaco (5,57%).</w:t>
      </w:r>
    </w:p>
    <w:p w:rsidR="00000000" w:rsidDel="00000000" w:rsidP="00000000" w:rsidRDefault="00000000" w:rsidRPr="00000000" w14:paraId="00000151">
      <w:pPr>
        <w:spacing w:line="276" w:lineRule="auto"/>
        <w:jc w:val="both"/>
        <w:rPr/>
      </w:pPr>
      <w:r w:rsidDel="00000000" w:rsidR="00000000" w:rsidRPr="00000000">
        <w:rPr>
          <w:rtl w:val="0"/>
        </w:rPr>
      </w:r>
    </w:p>
    <w:p w:rsidR="00000000" w:rsidDel="00000000" w:rsidP="00000000" w:rsidRDefault="00000000" w:rsidRPr="00000000" w14:paraId="00000152">
      <w:pPr>
        <w:spacing w:line="276" w:lineRule="auto"/>
        <w:jc w:val="both"/>
        <w:rPr>
          <w:rFonts w:ascii="Arial" w:cs="Arial" w:eastAsia="Arial" w:hAnsi="Arial"/>
          <w:sz w:val="22"/>
          <w:szCs w:val="22"/>
        </w:rPr>
      </w:pPr>
      <w:r w:rsidDel="00000000" w:rsidR="00000000" w:rsidRPr="00000000">
        <w:rPr/>
        <w:drawing>
          <wp:inline distB="0" distT="0" distL="0" distR="0">
            <wp:extent cx="4839933" cy="2004338"/>
            <wp:effectExtent b="0" l="0" r="0" t="0"/>
            <wp:docPr id="19" name="image3.png"/>
            <a:graphic>
              <a:graphicData uri="http://schemas.openxmlformats.org/drawingml/2006/picture">
                <pic:pic>
                  <pic:nvPicPr>
                    <pic:cNvPr id="0" name="image3.png"/>
                    <pic:cNvPicPr preferRelativeResize="0"/>
                  </pic:nvPicPr>
                  <pic:blipFill>
                    <a:blip r:embed="rId7"/>
                    <a:srcRect b="20934" l="7153" r="14286" t="21198"/>
                    <a:stretch>
                      <a:fillRect/>
                    </a:stretch>
                  </pic:blipFill>
                  <pic:spPr>
                    <a:xfrm>
                      <a:off x="0" y="0"/>
                      <a:ext cx="4839933" cy="2004338"/>
                    </a:xfrm>
                    <a:prstGeom prst="rect"/>
                    <a:ln/>
                  </pic:spPr>
                </pic:pic>
              </a:graphicData>
            </a:graphic>
          </wp:inline>
        </w:drawing>
      </w:r>
      <w:r w:rsidDel="00000000" w:rsidR="00000000" w:rsidRPr="00000000">
        <w:rPr>
          <w:rtl w:val="0"/>
        </w:rPr>
      </w:r>
    </w:p>
    <w:p w:rsidR="00000000" w:rsidDel="00000000" w:rsidP="00000000" w:rsidRDefault="00000000" w:rsidRPr="00000000" w14:paraId="00000153">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Fuente: DANE</w:t>
      </w:r>
    </w:p>
    <w:p w:rsidR="00000000" w:rsidDel="00000000" w:rsidP="00000000" w:rsidRDefault="00000000" w:rsidRPr="00000000" w14:paraId="00000154">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55">
      <w:pPr>
        <w:spacing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Indicadores del mercado laboral, mes de diciembre de 2024</w:t>
      </w:r>
    </w:p>
    <w:p w:rsidR="00000000" w:rsidDel="00000000" w:rsidP="00000000" w:rsidRDefault="00000000" w:rsidRPr="00000000" w14:paraId="00000156">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Gran Encuesta Integrada de Hogares (GEIH) tiene como objetivo proveer información estadística relacionada con mercado laboral, ingresos y pobreza monetaria, así como de las características sociodemográficas de la población residente en Colombia. A través de la encuesta se clasifica a las personas según su fuerza de trabajo como población ocupada, desocupada o población fuera de la fuerza de trabajo. De esta forma, es posible estimar los principales indicadores del mercado laboral colombiano, como son la Tasa Global de Participación (TGP), la Tasa de Ocupación (TO) y la Tasa de Desocupación (TD).</w:t>
      </w:r>
    </w:p>
    <w:p w:rsidR="00000000" w:rsidDel="00000000" w:rsidP="00000000" w:rsidRDefault="00000000" w:rsidRPr="00000000" w14:paraId="00000157">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8">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Para el mes de diciembre de 2024, la tasa de desocupación del total nacional fue 9,1%, lo que representó una disminución de 0,9 puntos porcentuales respecto al mismo mes de 2023 (10,0%). La tasa global de participación se ubicó en 64,4%, mientras que en diciembre de 2023 fue 63,8%. Finalmente, la tasa de ocupación fue 58,5%, lo que representó un aumento de 1,1 puntos porcentuales respecto al mismo mes del año anterior (57,4%).</w:t>
      </w:r>
    </w:p>
    <w:p w:rsidR="00000000" w:rsidDel="00000000" w:rsidP="00000000" w:rsidRDefault="00000000" w:rsidRPr="00000000" w14:paraId="00000159">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A">
      <w:pPr>
        <w:spacing w:line="276" w:lineRule="auto"/>
        <w:jc w:val="both"/>
        <w:rPr>
          <w:rFonts w:ascii="Arial" w:cs="Arial" w:eastAsia="Arial" w:hAnsi="Arial"/>
          <w:sz w:val="22"/>
          <w:szCs w:val="22"/>
        </w:rPr>
      </w:pPr>
      <w:r w:rsidDel="00000000" w:rsidR="00000000" w:rsidRPr="00000000">
        <w:rPr/>
        <w:drawing>
          <wp:inline distB="0" distT="0" distL="0" distR="0">
            <wp:extent cx="4825036" cy="2506012"/>
            <wp:effectExtent b="0" l="0" r="0" t="0"/>
            <wp:docPr id="18" name="image15.png"/>
            <a:graphic>
              <a:graphicData uri="http://schemas.openxmlformats.org/drawingml/2006/picture">
                <pic:pic>
                  <pic:nvPicPr>
                    <pic:cNvPr id="0" name="image15.png"/>
                    <pic:cNvPicPr preferRelativeResize="0"/>
                  </pic:nvPicPr>
                  <pic:blipFill>
                    <a:blip r:embed="rId8"/>
                    <a:srcRect b="5452" l="12337" r="10970" t="23697"/>
                    <a:stretch>
                      <a:fillRect/>
                    </a:stretch>
                  </pic:blipFill>
                  <pic:spPr>
                    <a:xfrm>
                      <a:off x="0" y="0"/>
                      <a:ext cx="4825036" cy="2506012"/>
                    </a:xfrm>
                    <a:prstGeom prst="rect"/>
                    <a:ln/>
                  </pic:spPr>
                </pic:pic>
              </a:graphicData>
            </a:graphic>
          </wp:inline>
        </w:drawing>
      </w:r>
      <w:r w:rsidDel="00000000" w:rsidR="00000000" w:rsidRPr="00000000">
        <w:rPr>
          <w:rtl w:val="0"/>
        </w:rPr>
      </w:r>
    </w:p>
    <w:p w:rsidR="00000000" w:rsidDel="00000000" w:rsidP="00000000" w:rsidRDefault="00000000" w:rsidRPr="00000000" w14:paraId="0000015B">
      <w:pPr>
        <w:spacing w:line="276" w:lineRule="auto"/>
        <w:jc w:val="both"/>
        <w:rPr>
          <w:rFonts w:ascii="Arial" w:cs="Arial" w:eastAsia="Arial" w:hAnsi="Arial"/>
          <w:sz w:val="22"/>
          <w:szCs w:val="22"/>
        </w:rPr>
      </w:pPr>
      <w:r w:rsidDel="00000000" w:rsidR="00000000" w:rsidRPr="00000000">
        <w:rPr>
          <w:rFonts w:ascii="Arial" w:cs="Arial" w:eastAsia="Arial" w:hAnsi="Arial"/>
          <w:sz w:val="18"/>
          <w:szCs w:val="18"/>
          <w:rtl w:val="0"/>
        </w:rPr>
        <w:t xml:space="preserve">Fuente: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18"/>
          <w:szCs w:val="18"/>
          <w:rtl w:val="0"/>
        </w:rPr>
        <w:t xml:space="preserve">DANE</w:t>
      </w:r>
      <w:r w:rsidDel="00000000" w:rsidR="00000000" w:rsidRPr="00000000">
        <w:rPr>
          <w:rtl w:val="0"/>
        </w:rPr>
      </w:r>
    </w:p>
    <w:p w:rsidR="00000000" w:rsidDel="00000000" w:rsidP="00000000" w:rsidRDefault="00000000" w:rsidRPr="00000000" w14:paraId="0000015C">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5D">
      <w:pPr>
        <w:spacing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Población ocupada según rama de actividad, mes diciembre y año 2024:</w:t>
      </w:r>
    </w:p>
    <w:p w:rsidR="00000000" w:rsidDel="00000000" w:rsidP="00000000" w:rsidRDefault="00000000" w:rsidRPr="00000000" w14:paraId="0000015E">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5F">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el mes de diciembre de 2024, el número de personas ocupadas en el total nacional fue 23.621 miles de personas. Las ramas que más aportaron positivamente a la variación de la población ocupada fueron Alojamiento y servicios de comida (1,1 puntos porcentuales); Actividades inmobiliarias (0,6 puntos porcentuales) y Comercio y reparación de vehículos (0,6 puntos porcentuales).</w:t>
      </w:r>
    </w:p>
    <w:p w:rsidR="00000000" w:rsidDel="00000000" w:rsidP="00000000" w:rsidRDefault="00000000" w:rsidRPr="00000000" w14:paraId="00000160">
      <w:pPr>
        <w:spacing w:line="276" w:lineRule="auto"/>
        <w:jc w:val="both"/>
        <w:rPr>
          <w:sz w:val="16"/>
          <w:szCs w:val="16"/>
        </w:rPr>
      </w:pPr>
      <w:r w:rsidDel="00000000" w:rsidR="00000000" w:rsidRPr="00000000">
        <w:rPr>
          <w:rtl w:val="0"/>
        </w:rPr>
      </w:r>
    </w:p>
    <w:p w:rsidR="00000000" w:rsidDel="00000000" w:rsidP="00000000" w:rsidRDefault="00000000" w:rsidRPr="00000000" w14:paraId="00000161">
      <w:pPr>
        <w:spacing w:line="276" w:lineRule="auto"/>
        <w:jc w:val="both"/>
        <w:rPr>
          <w:rFonts w:ascii="Arial" w:cs="Arial" w:eastAsia="Arial" w:hAnsi="Arial"/>
          <w:sz w:val="22"/>
          <w:szCs w:val="22"/>
        </w:rPr>
      </w:pPr>
      <w:r w:rsidDel="00000000" w:rsidR="00000000" w:rsidRPr="00000000">
        <w:rPr/>
        <w:drawing>
          <wp:inline distB="0" distT="0" distL="0" distR="0">
            <wp:extent cx="5515443" cy="3390331"/>
            <wp:effectExtent b="0" l="0" r="0" t="0"/>
            <wp:docPr id="21" name="image22.png"/>
            <a:graphic>
              <a:graphicData uri="http://schemas.openxmlformats.org/drawingml/2006/picture">
                <pic:pic>
                  <pic:nvPicPr>
                    <pic:cNvPr id="0" name="image22.png"/>
                    <pic:cNvPicPr preferRelativeResize="0"/>
                  </pic:nvPicPr>
                  <pic:blipFill>
                    <a:blip r:embed="rId9"/>
                    <a:srcRect b="8216" l="13463" r="15849" t="11222"/>
                    <a:stretch>
                      <a:fillRect/>
                    </a:stretch>
                  </pic:blipFill>
                  <pic:spPr>
                    <a:xfrm>
                      <a:off x="0" y="0"/>
                      <a:ext cx="5515443" cy="3390331"/>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Fuente: DANE</w:t>
      </w:r>
    </w:p>
    <w:p w:rsidR="00000000" w:rsidDel="00000000" w:rsidP="00000000" w:rsidRDefault="00000000" w:rsidRPr="00000000" w14:paraId="00000163">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64">
      <w:pPr>
        <w:spacing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Pronóstico del precio del petróleo para 2025</w:t>
      </w:r>
    </w:p>
    <w:p w:rsidR="00000000" w:rsidDel="00000000" w:rsidP="00000000" w:rsidRDefault="00000000" w:rsidRPr="00000000" w14:paraId="00000165">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66">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Un factor importante es la dinámica de la demanda mundial en el contexto del potencial aumento del consumo de energía en los países en desarrollo. Los pronósticos apuntan a un movimiento gradual hacia los niveles de 80-85 dólares por barril, enfatizando una atención especial a las reacciones del mercado a las noticias macroeconómicas y las decisiones de la OPEP. En general, los indicadores técnicos indican un aumento en el precio del petróleo en 2025. Sin embargo, hay que tener en cuenta los niveles clave de soporte y resistencia para determinar los posibles puntos de apertura y cierre de las posiciones. Como una confirmación adicional de la tendencia pueden servir los cambios bruscos en los volúmenes de negociación.</w:t>
      </w:r>
    </w:p>
    <w:p w:rsidR="00000000" w:rsidDel="00000000" w:rsidP="00000000" w:rsidRDefault="00000000" w:rsidRPr="00000000" w14:paraId="00000167">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68">
      <w:pPr>
        <w:spacing w:line="276" w:lineRule="auto"/>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169">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A">
      <w:pPr>
        <w:spacing w:line="276" w:lineRule="auto"/>
        <w:jc w:val="both"/>
        <w:rPr>
          <w:rFonts w:ascii="Arial" w:cs="Arial" w:eastAsia="Arial" w:hAnsi="Arial"/>
          <w:sz w:val="22"/>
          <w:szCs w:val="22"/>
        </w:rPr>
      </w:pPr>
      <w:r w:rsidDel="00000000" w:rsidR="00000000" w:rsidRPr="00000000">
        <w:rPr/>
        <w:drawing>
          <wp:inline distB="0" distT="0" distL="0" distR="0">
            <wp:extent cx="4389396" cy="2945823"/>
            <wp:effectExtent b="0" l="0" r="0" t="0"/>
            <wp:docPr id="20" name="image4.png"/>
            <a:graphic>
              <a:graphicData uri="http://schemas.openxmlformats.org/drawingml/2006/picture">
                <pic:pic>
                  <pic:nvPicPr>
                    <pic:cNvPr id="0" name="image4.png"/>
                    <pic:cNvPicPr preferRelativeResize="0"/>
                  </pic:nvPicPr>
                  <pic:blipFill>
                    <a:blip r:embed="rId10"/>
                    <a:srcRect b="7969" l="0" r="36485" t="16210"/>
                    <a:stretch>
                      <a:fillRect/>
                    </a:stretch>
                  </pic:blipFill>
                  <pic:spPr>
                    <a:xfrm>
                      <a:off x="0" y="0"/>
                      <a:ext cx="4389396" cy="2945823"/>
                    </a:xfrm>
                    <a:prstGeom prst="rect"/>
                    <a:ln/>
                  </pic:spPr>
                </pic:pic>
              </a:graphicData>
            </a:graphic>
          </wp:inline>
        </w:drawing>
      </w:r>
      <w:r w:rsidDel="00000000" w:rsidR="00000000" w:rsidRPr="00000000">
        <w:rPr>
          <w:rtl w:val="0"/>
        </w:rPr>
      </w:r>
    </w:p>
    <w:p w:rsidR="00000000" w:rsidDel="00000000" w:rsidP="00000000" w:rsidRDefault="00000000" w:rsidRPr="00000000" w14:paraId="0000016B">
      <w:pPr>
        <w:spacing w:line="276" w:lineRule="auto"/>
        <w:jc w:val="both"/>
        <w:rPr>
          <w:rFonts w:ascii="Arial" w:cs="Arial" w:eastAsia="Arial" w:hAnsi="Arial"/>
          <w:sz w:val="22"/>
          <w:szCs w:val="22"/>
          <w:highlight w:val="yellow"/>
        </w:rPr>
      </w:pPr>
      <w:r w:rsidDel="00000000" w:rsidR="00000000" w:rsidRPr="00000000">
        <w:rPr>
          <w:rtl w:val="0"/>
        </w:rPr>
      </w:r>
    </w:p>
    <w:p w:rsidR="00000000" w:rsidDel="00000000" w:rsidP="00000000" w:rsidRDefault="00000000" w:rsidRPr="00000000" w14:paraId="0000016C">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cuanto al cumplimiento de la </w:t>
      </w:r>
      <w:r w:rsidDel="00000000" w:rsidR="00000000" w:rsidRPr="00000000">
        <w:rPr>
          <w:rFonts w:ascii="Arial" w:cs="Arial" w:eastAsia="Arial" w:hAnsi="Arial"/>
          <w:b w:val="1"/>
          <w:sz w:val="22"/>
          <w:szCs w:val="22"/>
          <w:rtl w:val="0"/>
        </w:rPr>
        <w:t xml:space="preserve">Regla Fiscal</w:t>
      </w:r>
      <w:r w:rsidDel="00000000" w:rsidR="00000000" w:rsidRPr="00000000">
        <w:rPr>
          <w:rFonts w:ascii="Arial" w:cs="Arial" w:eastAsia="Arial" w:hAnsi="Arial"/>
          <w:sz w:val="22"/>
          <w:szCs w:val="22"/>
          <w:rtl w:val="0"/>
        </w:rPr>
        <w:t xml:space="preserve">, el Comité Autónomo de la Regla Fiscal (CARF) advirtió que, para cumplir con la regla fiscal en 2025, el Gobierno de Gustavo Petro deberá realizar ajustes en ingresos o gastos por al menos 46 billones de pesos, equivalentes al 2,6 % del PIB. Este llamado surge luego de que en 2024 el cumplimiento de la norma dependiera de transacciones extraordinarias, conocidas como Transacciones de Única Vez (TUV), aprobadas por el Consejo Superior de Política Fiscal (CONFIS). Según el CARF, el déficit fiscal de 2024 cerró en 6,8 % del PIB, una cifra superior a la del año anterior (4,3 %). Además, la deuda pública alcanzó el 60 % del PIB, revirtiendo la tendencia de consolidación fiscal observada entre 2021 y 2023. </w:t>
      </w:r>
      <w:hyperlink r:id="rId11">
        <w:r w:rsidDel="00000000" w:rsidR="00000000" w:rsidRPr="00000000">
          <w:rPr>
            <w:rFonts w:ascii="Arial" w:cs="Arial" w:eastAsia="Arial" w:hAnsi="Arial"/>
            <w:color w:val="0000ff"/>
            <w:sz w:val="22"/>
            <w:szCs w:val="22"/>
            <w:u w:val="single"/>
            <w:rtl w:val="0"/>
          </w:rPr>
          <w:t xml:space="preserve">https://www.bluradio.com/economia/carf-pide-ajuste-de-46-billones-en-2025-para-regla-fiscal-en-2024-no-se-cumplio-del-todo-so35</w:t>
        </w:r>
      </w:hyperlink>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6D">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E">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sintesis la </w:t>
      </w:r>
      <w:r w:rsidDel="00000000" w:rsidR="00000000" w:rsidRPr="00000000">
        <w:rPr>
          <w:rFonts w:ascii="Arial" w:cs="Arial" w:eastAsia="Arial" w:hAnsi="Arial"/>
          <w:b w:val="1"/>
          <w:sz w:val="22"/>
          <w:szCs w:val="22"/>
          <w:rtl w:val="0"/>
        </w:rPr>
        <w:t xml:space="preserve">economía colombiana</w:t>
      </w:r>
      <w:r w:rsidDel="00000000" w:rsidR="00000000" w:rsidRPr="00000000">
        <w:rPr>
          <w:rFonts w:ascii="Arial" w:cs="Arial" w:eastAsia="Arial" w:hAnsi="Arial"/>
          <w:sz w:val="22"/>
          <w:szCs w:val="22"/>
          <w:rtl w:val="0"/>
        </w:rPr>
        <w:t xml:space="preserve"> creció 1,7% en 2024, respecto al dato obtenido en 2023, cuando el Producto Interno Bruto (PIB) fue de 0,7%. Así lo reveló el Departamento Administrativo de Estadística (DANE), según el cual la actividad económica que más contribuyó a la dinámica del Producto Interno Bruto (PIB) del año pasado fue agricultura, ganadería, caza, silvicultura y pesca, con un crecimiento de 8,1% (contribuyó 0,8 puntos porcentuales a la variación anual). Le sigue administración pública y defensa; planes de seguridad social de afiliación obligatoria; educación; y actividades de atención de la salud humana y de servicios sociales, con 4,2% (0,7 puntos porcentuales a la variación anual). También tuvieron un comportamiento destacable las actividades artísticas, de entretenimiento y recreación y otras de servicios; actividades de los hogares individuales en calidad de empleadores; y actividades no diferenciadas de los hogares individuales como productores de bienes y servicios para uso propio, con 8,1% (0,3 puntos porcentuales). En cuanto a los resultados del cuarto trimestre de 2024, el repunte fue de 2,3%. La actividad económica que más contribuyó a la dinámica del valor agregado fue comercio al por mayor y al por menor; reparación de vehículos automotores y motocicletas; transporte y almacenamiento; alojamiento y servicios de comida, con un aumento de 4,4% (contribuyó con 1,0 puntos porcentuales a la variación anual). Le sigue administración pública y defensa; planes de seguridad social de afiliación obligatoria; educación; actividades de atención de la salud humana y de servicios sociales, con 4,0% (0,7 puntos porcentuales). Y en un tercer renglón se encuentra la agricultura, ganadería, caza, silvicultura y pesca, con un incremento de 6,5% (contribuye 0,6 puntos porcentuales a la variación anual). </w:t>
      </w:r>
      <w:hyperlink r:id="rId12">
        <w:r w:rsidDel="00000000" w:rsidR="00000000" w:rsidRPr="00000000">
          <w:rPr>
            <w:rFonts w:ascii="Arial" w:cs="Arial" w:eastAsia="Arial" w:hAnsi="Arial"/>
            <w:color w:val="0000ff"/>
            <w:sz w:val="22"/>
            <w:szCs w:val="22"/>
            <w:u w:val="single"/>
            <w:rtl w:val="0"/>
          </w:rPr>
          <w:t xml:space="preserve">https://www.elcolombiano.com/negocios/cuanto-crecio-la-economia-de-colombia-en-2024-EA26622655</w:t>
        </w:r>
      </w:hyperlink>
      <w:r w:rsidDel="00000000" w:rsidR="00000000" w:rsidRPr="00000000">
        <w:rPr>
          <w:rtl w:val="0"/>
        </w:rPr>
      </w:r>
    </w:p>
    <w:p w:rsidR="00000000" w:rsidDel="00000000" w:rsidP="00000000" w:rsidRDefault="00000000" w:rsidRPr="00000000" w14:paraId="0000016F">
      <w:pPr>
        <w:spacing w:line="276" w:lineRule="auto"/>
        <w:jc w:val="both"/>
        <w:rPr/>
      </w:pPr>
      <w:r w:rsidDel="00000000" w:rsidR="00000000" w:rsidRPr="00000000">
        <w:rPr>
          <w:rtl w:val="0"/>
        </w:rPr>
      </w:r>
    </w:p>
    <w:p w:rsidR="00000000" w:rsidDel="00000000" w:rsidP="00000000" w:rsidRDefault="00000000" w:rsidRPr="00000000" w14:paraId="00000170">
      <w:pPr>
        <w:spacing w:line="276" w:lineRule="auto"/>
        <w:jc w:val="both"/>
        <w:rPr>
          <w:rFonts w:ascii="Arial" w:cs="Arial" w:eastAsia="Arial" w:hAnsi="Arial"/>
          <w:sz w:val="22"/>
          <w:szCs w:val="22"/>
        </w:rPr>
      </w:pPr>
      <w:r w:rsidDel="00000000" w:rsidR="00000000" w:rsidRPr="00000000">
        <w:rPr/>
        <w:drawing>
          <wp:inline distB="0" distT="0" distL="0" distR="0">
            <wp:extent cx="3950033" cy="2692038"/>
            <wp:effectExtent b="0" l="0" r="0" t="0"/>
            <wp:docPr id="22" name="image23.png"/>
            <a:graphic>
              <a:graphicData uri="http://schemas.openxmlformats.org/drawingml/2006/picture">
                <pic:pic>
                  <pic:nvPicPr>
                    <pic:cNvPr id="0" name="image23.png"/>
                    <pic:cNvPicPr preferRelativeResize="0"/>
                  </pic:nvPicPr>
                  <pic:blipFill>
                    <a:blip r:embed="rId13"/>
                    <a:srcRect b="6969" l="7573" r="35645" t="24196"/>
                    <a:stretch>
                      <a:fillRect/>
                    </a:stretch>
                  </pic:blipFill>
                  <pic:spPr>
                    <a:xfrm>
                      <a:off x="0" y="0"/>
                      <a:ext cx="3950033" cy="2692038"/>
                    </a:xfrm>
                    <a:prstGeom prst="rect"/>
                    <a:ln/>
                  </pic:spPr>
                </pic:pic>
              </a:graphicData>
            </a:graphic>
          </wp:inline>
        </w:drawing>
      </w:r>
      <w:r w:rsidDel="00000000" w:rsidR="00000000" w:rsidRPr="00000000">
        <w:rPr>
          <w:rtl w:val="0"/>
        </w:rPr>
      </w:r>
    </w:p>
    <w:p w:rsidR="00000000" w:rsidDel="00000000" w:rsidP="00000000" w:rsidRDefault="00000000" w:rsidRPr="00000000" w14:paraId="00000171">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Concluyendo, aunque la economía colombiana muestra signos de recuperación, persisten desafíos significativos que requieren atención y estrategias adecuadas para asegurar un crecimiento sostenido a largo plazo.</w:t>
      </w:r>
    </w:p>
    <w:p w:rsidR="00000000" w:rsidDel="00000000" w:rsidP="00000000" w:rsidRDefault="00000000" w:rsidRPr="00000000" w14:paraId="00000172">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3">
      <w:pPr>
        <w:keepNext w:val="0"/>
        <w:keepLines w:val="0"/>
        <w:pageBreakBefore w:val="0"/>
        <w:widowControl w:val="1"/>
        <w:numPr>
          <w:ilvl w:val="1"/>
          <w:numId w:val="35"/>
        </w:numPr>
        <w:pBdr>
          <w:top w:space="0" w:sz="0" w:val="nil"/>
          <w:left w:space="0" w:sz="0" w:val="nil"/>
          <w:bottom w:space="0" w:sz="0" w:val="nil"/>
          <w:right w:space="0" w:sz="0" w:val="nil"/>
          <w:between w:space="0" w:sz="0" w:val="nil"/>
        </w:pBdr>
        <w:shd w:fill="auto" w:val="clear"/>
        <w:spacing w:after="200" w:before="0" w:line="276" w:lineRule="auto"/>
        <w:ind w:left="426" w:right="0" w:hanging="426"/>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INDICE DE PRECIOS AL CONSUMIDOR (IPC)</w:t>
      </w:r>
    </w:p>
    <w:p w:rsidR="00000000" w:rsidDel="00000000" w:rsidP="00000000" w:rsidRDefault="00000000" w:rsidRPr="00000000" w14:paraId="00000174">
      <w:pPr>
        <w:spacing w:line="276" w:lineRule="auto"/>
        <w:jc w:val="both"/>
        <w:rPr>
          <w:rFonts w:ascii="Arial" w:cs="Arial" w:eastAsia="Arial" w:hAnsi="Arial"/>
          <w:b w:val="1"/>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-67309</wp:posOffset>
            </wp:positionV>
            <wp:extent cx="2533650" cy="2035228"/>
            <wp:effectExtent b="0" l="0" r="0" t="0"/>
            <wp:wrapSquare wrapText="bothSides" distB="0" distT="0" distL="114300" distR="114300"/>
            <wp:docPr id="17"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2533650" cy="2035228"/>
                    </a:xfrm>
                    <a:prstGeom prst="rect"/>
                    <a:ln/>
                  </pic:spPr>
                </pic:pic>
              </a:graphicData>
            </a:graphic>
          </wp:anchor>
        </w:drawing>
      </w:r>
    </w:p>
    <w:p w:rsidR="00000000" w:rsidDel="00000000" w:rsidP="00000000" w:rsidRDefault="00000000" w:rsidRPr="00000000" w14:paraId="00000175">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6">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7">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8">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9">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A">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B">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C">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D">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E">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Índice de Precios al Consumidor (IPC) registró una notable reducción respecto al año anterior. Esta cifra será la base para determinar los incrementos máximos en arriendos, peajes y servicios esenciales.</w:t>
      </w:r>
    </w:p>
    <w:p w:rsidR="00000000" w:rsidDel="00000000" w:rsidP="00000000" w:rsidRDefault="00000000" w:rsidRPr="00000000" w14:paraId="0000017F">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0">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Departamento Administrativo Nacional de Estadística (DANE) informó que la inflación en Colombia finalizó 2024 con una variación anual de 5,2 %, marcando un descenso significativo frente al 9,28 % registrado en 2023. Este comportamiento refuerza la tendencia a la baja observada durante el segundo semestre, acercándose a la meta del Banco de la República de estabilizar la inflación en un 3 %.</w:t>
      </w:r>
    </w:p>
    <w:p w:rsidR="00000000" w:rsidDel="00000000" w:rsidP="00000000" w:rsidRDefault="00000000" w:rsidRPr="00000000" w14:paraId="00000181">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2">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Este dato es determinante para los ajustes económicos en 2025, especialmente en el incremento de precios de arriendos, peajes, servicios públicos y matrículas escolares. Por ejemplo, un arriendo mensual de $1.000.000 podrá aumentar hasta $1.052.000, respetando el límite del 5,2 %.</w:t>
      </w:r>
    </w:p>
    <w:p w:rsidR="00000000" w:rsidDel="00000000" w:rsidP="00000000" w:rsidRDefault="00000000" w:rsidRPr="00000000" w14:paraId="00000183">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4">
      <w:pPr>
        <w:spacing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Sectores con mayor impacto en la inflación</w:t>
      </w:r>
    </w:p>
    <w:p w:rsidR="00000000" w:rsidDel="00000000" w:rsidP="00000000" w:rsidRDefault="00000000" w:rsidRPr="00000000" w14:paraId="00000185">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6">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reporte del DANE señala que la educación lideró como el sector con mayor impacto inflacionario, registrando un incremento del 10,62 %, único rubro en alcanzar cifras de dos dígitos. Le siguieron los sectores de restaurantes y hoteles (7,87 %), y alojamiento, agua, electricidad, gas y otros combustibles (6,96 %).</w:t>
      </w:r>
    </w:p>
    <w:p w:rsidR="00000000" w:rsidDel="00000000" w:rsidP="00000000" w:rsidRDefault="00000000" w:rsidRPr="00000000" w14:paraId="00000187">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8">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el ámbito geográfico, Bucaramanga se posicionó nuevamente como la ciudad con mayor inflación anual, alcanzando el 6,06 %, mientras que Santa Marta reportó una variación negativa de 0,47 %, consolidándose como la ciudad con menor inflación.</w:t>
      </w:r>
    </w:p>
    <w:p w:rsidR="00000000" w:rsidDel="00000000" w:rsidP="00000000" w:rsidRDefault="00000000" w:rsidRPr="00000000" w14:paraId="00000189">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A">
      <w:pPr>
        <w:spacing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Expectativas de analistas económicos para el 2025</w:t>
      </w:r>
    </w:p>
    <w:p w:rsidR="00000000" w:rsidDel="00000000" w:rsidP="00000000" w:rsidRDefault="00000000" w:rsidRPr="00000000" w14:paraId="0000018B">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C">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Se muestra la consulta a los analistas económicos sobre sus expectativas de inflación, tasa de intervención del Banco de la República, tasa representativa del mercado (TRM) y crecimiento del producto interno bruto (PIB), para determinados horizontes temporales. Esta encuesta hace parte de un conjunto de herramientas para el análisis de los canales de transmisión de política monetaria, que permite estudiar el grado de anclaje de las expectativas de inflación, con la particularidad que la Encuesta mensual de expectativas de analistas económicos (EME) permite recolectar información directa sobre las expectativas.</w:t>
      </w:r>
    </w:p>
    <w:p w:rsidR="00000000" w:rsidDel="00000000" w:rsidP="00000000" w:rsidRDefault="00000000" w:rsidRPr="00000000" w14:paraId="0000018D">
      <w:pPr>
        <w:spacing w:line="276" w:lineRule="auto"/>
        <w:jc w:val="both"/>
        <w:rPr>
          <w:rFonts w:ascii="Arial" w:cs="Arial" w:eastAsia="Arial" w:hAnsi="Arial"/>
          <w:b w:val="1"/>
          <w:sz w:val="22"/>
          <w:szCs w:val="22"/>
        </w:rPr>
      </w:pPr>
      <w:r w:rsidDel="00000000" w:rsidR="00000000" w:rsidRPr="00000000">
        <w:rPr>
          <w:rtl w:val="0"/>
        </w:rPr>
      </w:r>
    </w:p>
    <w:tbl>
      <w:tblPr>
        <w:tblStyle w:val="Table5"/>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04"/>
        <w:gridCol w:w="1231"/>
        <w:gridCol w:w="207"/>
        <w:gridCol w:w="965"/>
        <w:gridCol w:w="648"/>
        <w:gridCol w:w="480"/>
        <w:gridCol w:w="1156"/>
        <w:gridCol w:w="1402"/>
        <w:tblGridChange w:id="0">
          <w:tblGrid>
            <w:gridCol w:w="3404"/>
            <w:gridCol w:w="1231"/>
            <w:gridCol w:w="207"/>
            <w:gridCol w:w="965"/>
            <w:gridCol w:w="648"/>
            <w:gridCol w:w="480"/>
            <w:gridCol w:w="1156"/>
            <w:gridCol w:w="1402"/>
          </w:tblGrid>
        </w:tblGridChange>
      </w:tblGrid>
      <w:tr>
        <w:trPr>
          <w:cantSplit w:val="0"/>
          <w:trHeight w:val="375" w:hRule="atLeast"/>
          <w:tblHeader w:val="0"/>
        </w:trPr>
        <w:tc>
          <w:tcPr>
            <w:gridSpan w:val="8"/>
            <w:shd w:fill="bf8f00" w:val="clear"/>
          </w:tcPr>
          <w:p w:rsidR="00000000" w:rsidDel="00000000" w:rsidP="00000000" w:rsidRDefault="00000000" w:rsidRPr="00000000" w14:paraId="0000018E">
            <w:pPr>
              <w:spacing w:line="276" w:lineRule="auto"/>
              <w:jc w:val="both"/>
              <w:rPr>
                <w:rFonts w:ascii="Arial" w:cs="Arial" w:eastAsia="Arial" w:hAnsi="Arial"/>
                <w:b w:val="1"/>
                <w:sz w:val="18"/>
                <w:szCs w:val="18"/>
              </w:rPr>
            </w:pPr>
            <w:r w:rsidDel="00000000" w:rsidR="00000000" w:rsidRPr="00000000">
              <w:rPr>
                <w:rFonts w:ascii="Arial" w:cs="Arial" w:eastAsia="Arial" w:hAnsi="Arial"/>
                <w:b w:val="1"/>
                <w:color w:val="ffffff"/>
                <w:sz w:val="18"/>
                <w:szCs w:val="18"/>
                <w:rtl w:val="0"/>
              </w:rPr>
              <w:t xml:space="preserve">RESUMEN RESULTADOS DE LA ENCUESTA MENSUAL DE EXPECTATIVAS ECONÓMICAS</w:t>
            </w:r>
            <w:r w:rsidDel="00000000" w:rsidR="00000000" w:rsidRPr="00000000">
              <w:rPr>
                <w:rtl w:val="0"/>
              </w:rPr>
            </w:r>
          </w:p>
        </w:tc>
      </w:tr>
      <w:tr>
        <w:trPr>
          <w:cantSplit w:val="0"/>
          <w:trHeight w:val="315" w:hRule="atLeast"/>
          <w:tblHeader w:val="0"/>
        </w:trPr>
        <w:tc>
          <w:tcPr>
            <w:gridSpan w:val="4"/>
          </w:tcPr>
          <w:p w:rsidR="00000000" w:rsidDel="00000000" w:rsidP="00000000" w:rsidRDefault="00000000" w:rsidRPr="00000000" w14:paraId="00000196">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Fecha de realización: del 10 de enero al 14 de enero de 2025</w:t>
            </w:r>
          </w:p>
        </w:tc>
        <w:tc>
          <w:tcPr>
            <w:gridSpan w:val="2"/>
          </w:tcPr>
          <w:p w:rsidR="00000000" w:rsidDel="00000000" w:rsidP="00000000" w:rsidRDefault="00000000" w:rsidRPr="00000000" w14:paraId="0000019A">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 </w:t>
            </w:r>
          </w:p>
        </w:tc>
        <w:tc>
          <w:tcPr>
            <w:gridSpan w:val="2"/>
          </w:tcPr>
          <w:p w:rsidR="00000000" w:rsidDel="00000000" w:rsidP="00000000" w:rsidRDefault="00000000" w:rsidRPr="00000000" w14:paraId="0000019C">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 </w:t>
            </w:r>
          </w:p>
        </w:tc>
      </w:tr>
      <w:tr>
        <w:trPr>
          <w:cantSplit w:val="0"/>
          <w:trHeight w:val="390" w:hRule="atLeast"/>
          <w:tblHeader w:val="0"/>
        </w:trPr>
        <w:tc>
          <w:tcPr>
            <w:gridSpan w:val="8"/>
          </w:tcPr>
          <w:p w:rsidR="00000000" w:rsidDel="00000000" w:rsidP="00000000" w:rsidRDefault="00000000" w:rsidRPr="00000000" w14:paraId="0000019E">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Expectativas de Inflación </w:t>
            </w:r>
          </w:p>
        </w:tc>
      </w:tr>
      <w:tr>
        <w:trPr>
          <w:cantSplit w:val="0"/>
          <w:trHeight w:val="510" w:hRule="atLeast"/>
          <w:tblHeader w:val="0"/>
        </w:trPr>
        <w:tc>
          <w:tcPr/>
          <w:p w:rsidR="00000000" w:rsidDel="00000000" w:rsidP="00000000" w:rsidRDefault="00000000" w:rsidRPr="00000000" w14:paraId="000001A6">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Estadística</w:t>
            </w:r>
          </w:p>
        </w:tc>
        <w:tc>
          <w:tcPr/>
          <w:p w:rsidR="00000000" w:rsidDel="00000000" w:rsidP="00000000" w:rsidRDefault="00000000" w:rsidRPr="00000000" w14:paraId="000001A7">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Promedio</w:t>
            </w:r>
          </w:p>
        </w:tc>
        <w:tc>
          <w:tcPr>
            <w:gridSpan w:val="2"/>
          </w:tcPr>
          <w:p w:rsidR="00000000" w:rsidDel="00000000" w:rsidP="00000000" w:rsidRDefault="00000000" w:rsidRPr="00000000" w14:paraId="000001A8">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Mínimo</w:t>
            </w:r>
          </w:p>
        </w:tc>
        <w:tc>
          <w:tcPr>
            <w:gridSpan w:val="2"/>
          </w:tcPr>
          <w:p w:rsidR="00000000" w:rsidDel="00000000" w:rsidP="00000000" w:rsidRDefault="00000000" w:rsidRPr="00000000" w14:paraId="000001AA">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Máximo</w:t>
            </w:r>
          </w:p>
        </w:tc>
        <w:tc>
          <w:tcPr>
            <w:gridSpan w:val="2"/>
          </w:tcPr>
          <w:p w:rsidR="00000000" w:rsidDel="00000000" w:rsidP="00000000" w:rsidRDefault="00000000" w:rsidRPr="00000000" w14:paraId="000001AC">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No. encuestados</w:t>
            </w:r>
          </w:p>
        </w:tc>
      </w:tr>
      <w:tr>
        <w:trPr>
          <w:cantSplit w:val="0"/>
          <w:trHeight w:val="315" w:hRule="atLeast"/>
          <w:tblHeader w:val="0"/>
        </w:trPr>
        <w:tc>
          <w:tcPr/>
          <w:p w:rsidR="00000000" w:rsidDel="00000000" w:rsidP="00000000" w:rsidRDefault="00000000" w:rsidRPr="00000000" w14:paraId="000001AE">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 mensual en enero de 2025</w:t>
            </w:r>
          </w:p>
        </w:tc>
        <w:tc>
          <w:tcPr/>
          <w:p w:rsidR="00000000" w:rsidDel="00000000" w:rsidP="00000000" w:rsidRDefault="00000000" w:rsidRPr="00000000" w14:paraId="000001AF">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0,82%</w:t>
            </w:r>
          </w:p>
        </w:tc>
        <w:tc>
          <w:tcPr>
            <w:gridSpan w:val="2"/>
          </w:tcPr>
          <w:p w:rsidR="00000000" w:rsidDel="00000000" w:rsidP="00000000" w:rsidRDefault="00000000" w:rsidRPr="00000000" w14:paraId="000001B0">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0,50%</w:t>
            </w:r>
          </w:p>
        </w:tc>
        <w:tc>
          <w:tcPr>
            <w:gridSpan w:val="2"/>
          </w:tcPr>
          <w:p w:rsidR="00000000" w:rsidDel="00000000" w:rsidP="00000000" w:rsidRDefault="00000000" w:rsidRPr="00000000" w14:paraId="000001B2">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1,09%</w:t>
            </w:r>
          </w:p>
        </w:tc>
        <w:tc>
          <w:tcPr>
            <w:gridSpan w:val="2"/>
          </w:tcPr>
          <w:p w:rsidR="00000000" w:rsidDel="00000000" w:rsidP="00000000" w:rsidRDefault="00000000" w:rsidRPr="00000000" w14:paraId="000001B4">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40</w:t>
            </w:r>
          </w:p>
        </w:tc>
      </w:tr>
      <w:tr>
        <w:trPr>
          <w:cantSplit w:val="0"/>
          <w:trHeight w:val="315" w:hRule="atLeast"/>
          <w:tblHeader w:val="0"/>
        </w:trPr>
        <w:tc>
          <w:tcPr/>
          <w:p w:rsidR="00000000" w:rsidDel="00000000" w:rsidP="00000000" w:rsidRDefault="00000000" w:rsidRPr="00000000" w14:paraId="000001B6">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 anual en diciembre de 2025</w:t>
            </w:r>
          </w:p>
        </w:tc>
        <w:tc>
          <w:tcPr/>
          <w:p w:rsidR="00000000" w:rsidDel="00000000" w:rsidP="00000000" w:rsidRDefault="00000000" w:rsidRPr="00000000" w14:paraId="000001B7">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4,21%</w:t>
            </w:r>
          </w:p>
        </w:tc>
        <w:tc>
          <w:tcPr>
            <w:gridSpan w:val="2"/>
          </w:tcPr>
          <w:p w:rsidR="00000000" w:rsidDel="00000000" w:rsidP="00000000" w:rsidRDefault="00000000" w:rsidRPr="00000000" w14:paraId="000001B8">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3,66%</w:t>
            </w:r>
          </w:p>
        </w:tc>
        <w:tc>
          <w:tcPr>
            <w:gridSpan w:val="2"/>
          </w:tcPr>
          <w:p w:rsidR="00000000" w:rsidDel="00000000" w:rsidP="00000000" w:rsidRDefault="00000000" w:rsidRPr="00000000" w14:paraId="000001BA">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5,42%</w:t>
            </w:r>
          </w:p>
        </w:tc>
        <w:tc>
          <w:tcPr>
            <w:gridSpan w:val="2"/>
          </w:tcPr>
          <w:p w:rsidR="00000000" w:rsidDel="00000000" w:rsidP="00000000" w:rsidRDefault="00000000" w:rsidRPr="00000000" w14:paraId="000001BC">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40</w:t>
            </w:r>
          </w:p>
        </w:tc>
      </w:tr>
      <w:tr>
        <w:trPr>
          <w:cantSplit w:val="0"/>
          <w:trHeight w:val="315" w:hRule="atLeast"/>
          <w:tblHeader w:val="0"/>
        </w:trPr>
        <w:tc>
          <w:tcPr/>
          <w:p w:rsidR="00000000" w:rsidDel="00000000" w:rsidP="00000000" w:rsidRDefault="00000000" w:rsidRPr="00000000" w14:paraId="000001BE">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 anual en enero de 2026</w:t>
            </w:r>
          </w:p>
        </w:tc>
        <w:tc>
          <w:tcPr/>
          <w:p w:rsidR="00000000" w:rsidDel="00000000" w:rsidP="00000000" w:rsidRDefault="00000000" w:rsidRPr="00000000" w14:paraId="000001BF">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4,06%</w:t>
            </w:r>
          </w:p>
        </w:tc>
        <w:tc>
          <w:tcPr>
            <w:gridSpan w:val="2"/>
          </w:tcPr>
          <w:p w:rsidR="00000000" w:rsidDel="00000000" w:rsidP="00000000" w:rsidRDefault="00000000" w:rsidRPr="00000000" w14:paraId="000001C0">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3,59%</w:t>
            </w:r>
          </w:p>
        </w:tc>
        <w:tc>
          <w:tcPr>
            <w:gridSpan w:val="2"/>
          </w:tcPr>
          <w:p w:rsidR="00000000" w:rsidDel="00000000" w:rsidP="00000000" w:rsidRDefault="00000000" w:rsidRPr="00000000" w14:paraId="000001C2">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5,17%</w:t>
            </w:r>
          </w:p>
        </w:tc>
        <w:tc>
          <w:tcPr>
            <w:gridSpan w:val="2"/>
          </w:tcPr>
          <w:p w:rsidR="00000000" w:rsidDel="00000000" w:rsidP="00000000" w:rsidRDefault="00000000" w:rsidRPr="00000000" w14:paraId="000001C4">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37</w:t>
            </w:r>
          </w:p>
        </w:tc>
      </w:tr>
      <w:tr>
        <w:trPr>
          <w:cantSplit w:val="0"/>
          <w:trHeight w:val="315" w:hRule="atLeast"/>
          <w:tblHeader w:val="0"/>
        </w:trPr>
        <w:tc>
          <w:tcPr/>
          <w:p w:rsidR="00000000" w:rsidDel="00000000" w:rsidP="00000000" w:rsidRDefault="00000000" w:rsidRPr="00000000" w14:paraId="000001C6">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 anual en diciembre de 2026</w:t>
            </w:r>
          </w:p>
        </w:tc>
        <w:tc>
          <w:tcPr/>
          <w:p w:rsidR="00000000" w:rsidDel="00000000" w:rsidP="00000000" w:rsidRDefault="00000000" w:rsidRPr="00000000" w14:paraId="000001C7">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3,65%</w:t>
            </w:r>
          </w:p>
        </w:tc>
        <w:tc>
          <w:tcPr>
            <w:gridSpan w:val="2"/>
          </w:tcPr>
          <w:p w:rsidR="00000000" w:rsidDel="00000000" w:rsidP="00000000" w:rsidRDefault="00000000" w:rsidRPr="00000000" w14:paraId="000001C8">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3,00%</w:t>
            </w:r>
          </w:p>
        </w:tc>
        <w:tc>
          <w:tcPr>
            <w:gridSpan w:val="2"/>
          </w:tcPr>
          <w:p w:rsidR="00000000" w:rsidDel="00000000" w:rsidP="00000000" w:rsidRDefault="00000000" w:rsidRPr="00000000" w14:paraId="000001CA">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5,09%</w:t>
            </w:r>
          </w:p>
        </w:tc>
        <w:tc>
          <w:tcPr>
            <w:gridSpan w:val="2"/>
          </w:tcPr>
          <w:p w:rsidR="00000000" w:rsidDel="00000000" w:rsidP="00000000" w:rsidRDefault="00000000" w:rsidRPr="00000000" w14:paraId="000001CC">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38</w:t>
            </w:r>
          </w:p>
        </w:tc>
      </w:tr>
      <w:tr>
        <w:trPr>
          <w:cantSplit w:val="0"/>
          <w:trHeight w:val="330" w:hRule="atLeast"/>
          <w:tblHeader w:val="0"/>
        </w:trPr>
        <w:tc>
          <w:tcPr/>
          <w:p w:rsidR="00000000" w:rsidDel="00000000" w:rsidP="00000000" w:rsidRDefault="00000000" w:rsidRPr="00000000" w14:paraId="000001CE">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 anual en enero de 2027</w:t>
            </w:r>
          </w:p>
        </w:tc>
        <w:tc>
          <w:tcPr/>
          <w:p w:rsidR="00000000" w:rsidDel="00000000" w:rsidP="00000000" w:rsidRDefault="00000000" w:rsidRPr="00000000" w14:paraId="000001CF">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3,51%</w:t>
            </w:r>
          </w:p>
        </w:tc>
        <w:tc>
          <w:tcPr>
            <w:gridSpan w:val="2"/>
          </w:tcPr>
          <w:p w:rsidR="00000000" w:rsidDel="00000000" w:rsidP="00000000" w:rsidRDefault="00000000" w:rsidRPr="00000000" w14:paraId="000001D0">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2,80%</w:t>
            </w:r>
          </w:p>
        </w:tc>
        <w:tc>
          <w:tcPr>
            <w:gridSpan w:val="2"/>
          </w:tcPr>
          <w:p w:rsidR="00000000" w:rsidDel="00000000" w:rsidP="00000000" w:rsidRDefault="00000000" w:rsidRPr="00000000" w14:paraId="000001D2">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5,02%</w:t>
            </w:r>
          </w:p>
        </w:tc>
        <w:tc>
          <w:tcPr>
            <w:gridSpan w:val="2"/>
          </w:tcPr>
          <w:p w:rsidR="00000000" w:rsidDel="00000000" w:rsidP="00000000" w:rsidRDefault="00000000" w:rsidRPr="00000000" w14:paraId="000001D4">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34</w:t>
            </w:r>
          </w:p>
        </w:tc>
      </w:tr>
      <w:tr>
        <w:trPr>
          <w:cantSplit w:val="0"/>
          <w:trHeight w:val="330" w:hRule="atLeast"/>
          <w:tblHeader w:val="0"/>
        </w:trPr>
        <w:tc>
          <w:tcPr>
            <w:gridSpan w:val="8"/>
            <w:shd w:fill="bf8f00" w:val="clear"/>
          </w:tcPr>
          <w:p w:rsidR="00000000" w:rsidDel="00000000" w:rsidP="00000000" w:rsidRDefault="00000000" w:rsidRPr="00000000" w14:paraId="000001D6">
            <w:pPr>
              <w:jc w:val="center"/>
              <w:rPr>
                <w:rFonts w:ascii="Arial" w:cs="Arial" w:eastAsia="Arial" w:hAnsi="Arial"/>
                <w:color w:val="ffffff"/>
                <w:sz w:val="18"/>
                <w:szCs w:val="18"/>
              </w:rPr>
            </w:pPr>
            <w:r w:rsidDel="00000000" w:rsidR="00000000" w:rsidRPr="00000000">
              <w:rPr>
                <w:rFonts w:ascii="Arial" w:cs="Arial" w:eastAsia="Arial" w:hAnsi="Arial"/>
                <w:b w:val="1"/>
                <w:color w:val="ffffff"/>
                <w:sz w:val="18"/>
                <w:szCs w:val="18"/>
                <w:rtl w:val="0"/>
              </w:rPr>
              <w:t xml:space="preserve">Expectativas de TRM fin de período</w:t>
            </w:r>
            <w:r w:rsidDel="00000000" w:rsidR="00000000" w:rsidRPr="00000000">
              <w:rPr>
                <w:rtl w:val="0"/>
              </w:rPr>
            </w:r>
          </w:p>
        </w:tc>
      </w:tr>
      <w:tr>
        <w:trPr>
          <w:cantSplit w:val="0"/>
          <w:trHeight w:val="330" w:hRule="atLeast"/>
          <w:tblHeader w:val="0"/>
        </w:trPr>
        <w:tc>
          <w:tcPr/>
          <w:p w:rsidR="00000000" w:rsidDel="00000000" w:rsidP="00000000" w:rsidRDefault="00000000" w:rsidRPr="00000000" w14:paraId="000001DE">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Estadística</w:t>
            </w:r>
          </w:p>
        </w:tc>
        <w:tc>
          <w:tcPr>
            <w:gridSpan w:val="2"/>
          </w:tcPr>
          <w:p w:rsidR="00000000" w:rsidDel="00000000" w:rsidP="00000000" w:rsidRDefault="00000000" w:rsidRPr="00000000" w14:paraId="000001DF">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Promedio</w:t>
            </w:r>
          </w:p>
        </w:tc>
        <w:tc>
          <w:tcPr>
            <w:gridSpan w:val="2"/>
          </w:tcPr>
          <w:p w:rsidR="00000000" w:rsidDel="00000000" w:rsidP="00000000" w:rsidRDefault="00000000" w:rsidRPr="00000000" w14:paraId="000001E1">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Mínimo</w:t>
            </w:r>
          </w:p>
        </w:tc>
        <w:tc>
          <w:tcPr>
            <w:gridSpan w:val="2"/>
          </w:tcPr>
          <w:p w:rsidR="00000000" w:rsidDel="00000000" w:rsidP="00000000" w:rsidRDefault="00000000" w:rsidRPr="00000000" w14:paraId="000001E3">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Máximo</w:t>
            </w:r>
          </w:p>
        </w:tc>
        <w:tc>
          <w:tcPr/>
          <w:p w:rsidR="00000000" w:rsidDel="00000000" w:rsidP="00000000" w:rsidRDefault="00000000" w:rsidRPr="00000000" w14:paraId="000001E5">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No. encuestados</w:t>
            </w:r>
          </w:p>
        </w:tc>
      </w:tr>
      <w:tr>
        <w:trPr>
          <w:cantSplit w:val="0"/>
          <w:trHeight w:val="315" w:hRule="atLeast"/>
          <w:tblHeader w:val="0"/>
        </w:trPr>
        <w:tc>
          <w:tcPr/>
          <w:p w:rsidR="00000000" w:rsidDel="00000000" w:rsidP="00000000" w:rsidRDefault="00000000" w:rsidRPr="00000000" w14:paraId="000001E6">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 enero de 2025</w:t>
            </w:r>
          </w:p>
        </w:tc>
        <w:tc>
          <w:tcPr>
            <w:gridSpan w:val="2"/>
          </w:tcPr>
          <w:p w:rsidR="00000000" w:rsidDel="00000000" w:rsidP="00000000" w:rsidRDefault="00000000" w:rsidRPr="00000000" w14:paraId="000001E7">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4331</w:t>
            </w:r>
          </w:p>
        </w:tc>
        <w:tc>
          <w:tcPr>
            <w:gridSpan w:val="2"/>
          </w:tcPr>
          <w:p w:rsidR="00000000" w:rsidDel="00000000" w:rsidP="00000000" w:rsidRDefault="00000000" w:rsidRPr="00000000" w14:paraId="000001E9">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4193</w:t>
            </w:r>
          </w:p>
        </w:tc>
        <w:tc>
          <w:tcPr>
            <w:gridSpan w:val="2"/>
          </w:tcPr>
          <w:p w:rsidR="00000000" w:rsidDel="00000000" w:rsidP="00000000" w:rsidRDefault="00000000" w:rsidRPr="00000000" w14:paraId="000001EB">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4420</w:t>
            </w:r>
          </w:p>
        </w:tc>
        <w:tc>
          <w:tcPr/>
          <w:p w:rsidR="00000000" w:rsidDel="00000000" w:rsidP="00000000" w:rsidRDefault="00000000" w:rsidRPr="00000000" w14:paraId="000001ED">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39</w:t>
            </w:r>
          </w:p>
        </w:tc>
      </w:tr>
      <w:tr>
        <w:trPr>
          <w:cantSplit w:val="0"/>
          <w:trHeight w:val="315" w:hRule="atLeast"/>
          <w:tblHeader w:val="0"/>
        </w:trPr>
        <w:tc>
          <w:tcPr/>
          <w:p w:rsidR="00000000" w:rsidDel="00000000" w:rsidP="00000000" w:rsidRDefault="00000000" w:rsidRPr="00000000" w14:paraId="000001EE">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 diciembre de 2025</w:t>
            </w:r>
          </w:p>
        </w:tc>
        <w:tc>
          <w:tcPr>
            <w:gridSpan w:val="2"/>
          </w:tcPr>
          <w:p w:rsidR="00000000" w:rsidDel="00000000" w:rsidP="00000000" w:rsidRDefault="00000000" w:rsidRPr="00000000" w14:paraId="000001EF">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4337</w:t>
            </w:r>
          </w:p>
        </w:tc>
        <w:tc>
          <w:tcPr>
            <w:gridSpan w:val="2"/>
          </w:tcPr>
          <w:p w:rsidR="00000000" w:rsidDel="00000000" w:rsidP="00000000" w:rsidRDefault="00000000" w:rsidRPr="00000000" w14:paraId="000001F1">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4000</w:t>
            </w:r>
          </w:p>
        </w:tc>
        <w:tc>
          <w:tcPr>
            <w:gridSpan w:val="2"/>
          </w:tcPr>
          <w:p w:rsidR="00000000" w:rsidDel="00000000" w:rsidP="00000000" w:rsidRDefault="00000000" w:rsidRPr="00000000" w14:paraId="000001F3">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4774</w:t>
            </w:r>
          </w:p>
        </w:tc>
        <w:tc>
          <w:tcPr/>
          <w:p w:rsidR="00000000" w:rsidDel="00000000" w:rsidP="00000000" w:rsidRDefault="00000000" w:rsidRPr="00000000" w14:paraId="000001F5">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40</w:t>
            </w:r>
          </w:p>
        </w:tc>
      </w:tr>
      <w:tr>
        <w:trPr>
          <w:cantSplit w:val="0"/>
          <w:trHeight w:val="315" w:hRule="atLeast"/>
          <w:tblHeader w:val="0"/>
        </w:trPr>
        <w:tc>
          <w:tcPr/>
          <w:p w:rsidR="00000000" w:rsidDel="00000000" w:rsidP="00000000" w:rsidRDefault="00000000" w:rsidRPr="00000000" w14:paraId="000001F6">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 enero de 2026</w:t>
            </w:r>
          </w:p>
        </w:tc>
        <w:tc>
          <w:tcPr>
            <w:gridSpan w:val="2"/>
          </w:tcPr>
          <w:p w:rsidR="00000000" w:rsidDel="00000000" w:rsidP="00000000" w:rsidRDefault="00000000" w:rsidRPr="00000000" w14:paraId="000001F7">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4286</w:t>
            </w:r>
          </w:p>
        </w:tc>
        <w:tc>
          <w:tcPr>
            <w:gridSpan w:val="2"/>
          </w:tcPr>
          <w:p w:rsidR="00000000" w:rsidDel="00000000" w:rsidP="00000000" w:rsidRDefault="00000000" w:rsidRPr="00000000" w14:paraId="000001F9">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3800</w:t>
            </w:r>
          </w:p>
        </w:tc>
        <w:tc>
          <w:tcPr>
            <w:gridSpan w:val="2"/>
          </w:tcPr>
          <w:p w:rsidR="00000000" w:rsidDel="00000000" w:rsidP="00000000" w:rsidRDefault="00000000" w:rsidRPr="00000000" w14:paraId="000001FB">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4750</w:t>
            </w:r>
          </w:p>
        </w:tc>
        <w:tc>
          <w:tcPr/>
          <w:p w:rsidR="00000000" w:rsidDel="00000000" w:rsidP="00000000" w:rsidRDefault="00000000" w:rsidRPr="00000000" w14:paraId="000001FD">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35</w:t>
            </w:r>
          </w:p>
        </w:tc>
      </w:tr>
      <w:tr>
        <w:trPr>
          <w:cantSplit w:val="0"/>
          <w:trHeight w:val="315" w:hRule="atLeast"/>
          <w:tblHeader w:val="0"/>
        </w:trPr>
        <w:tc>
          <w:tcPr/>
          <w:p w:rsidR="00000000" w:rsidDel="00000000" w:rsidP="00000000" w:rsidRDefault="00000000" w:rsidRPr="00000000" w14:paraId="000001FE">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 diciembre de 2026</w:t>
            </w:r>
          </w:p>
        </w:tc>
        <w:tc>
          <w:tcPr>
            <w:gridSpan w:val="2"/>
          </w:tcPr>
          <w:p w:rsidR="00000000" w:rsidDel="00000000" w:rsidP="00000000" w:rsidRDefault="00000000" w:rsidRPr="00000000" w14:paraId="000001FF">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4249</w:t>
            </w:r>
          </w:p>
        </w:tc>
        <w:tc>
          <w:tcPr>
            <w:gridSpan w:val="2"/>
          </w:tcPr>
          <w:p w:rsidR="00000000" w:rsidDel="00000000" w:rsidP="00000000" w:rsidRDefault="00000000" w:rsidRPr="00000000" w14:paraId="00000201">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3687</w:t>
            </w:r>
          </w:p>
        </w:tc>
        <w:tc>
          <w:tcPr>
            <w:gridSpan w:val="2"/>
          </w:tcPr>
          <w:p w:rsidR="00000000" w:rsidDel="00000000" w:rsidP="00000000" w:rsidRDefault="00000000" w:rsidRPr="00000000" w14:paraId="00000203">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4800</w:t>
            </w:r>
          </w:p>
        </w:tc>
        <w:tc>
          <w:tcPr/>
          <w:p w:rsidR="00000000" w:rsidDel="00000000" w:rsidP="00000000" w:rsidRDefault="00000000" w:rsidRPr="00000000" w14:paraId="00000205">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36</w:t>
            </w:r>
          </w:p>
        </w:tc>
      </w:tr>
      <w:tr>
        <w:trPr>
          <w:cantSplit w:val="0"/>
          <w:trHeight w:val="330" w:hRule="atLeast"/>
          <w:tblHeader w:val="0"/>
        </w:trPr>
        <w:tc>
          <w:tcPr/>
          <w:p w:rsidR="00000000" w:rsidDel="00000000" w:rsidP="00000000" w:rsidRDefault="00000000" w:rsidRPr="00000000" w14:paraId="00000206">
            <w:pPr>
              <w:spacing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 enero de 2027</w:t>
            </w:r>
          </w:p>
        </w:tc>
        <w:tc>
          <w:tcPr>
            <w:gridSpan w:val="2"/>
          </w:tcPr>
          <w:p w:rsidR="00000000" w:rsidDel="00000000" w:rsidP="00000000" w:rsidRDefault="00000000" w:rsidRPr="00000000" w14:paraId="00000207">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4217</w:t>
            </w:r>
          </w:p>
        </w:tc>
        <w:tc>
          <w:tcPr>
            <w:gridSpan w:val="2"/>
          </w:tcPr>
          <w:p w:rsidR="00000000" w:rsidDel="00000000" w:rsidP="00000000" w:rsidRDefault="00000000" w:rsidRPr="00000000" w14:paraId="00000209">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3714</w:t>
            </w:r>
          </w:p>
        </w:tc>
        <w:tc>
          <w:tcPr>
            <w:gridSpan w:val="2"/>
          </w:tcPr>
          <w:p w:rsidR="00000000" w:rsidDel="00000000" w:rsidP="00000000" w:rsidRDefault="00000000" w:rsidRPr="00000000" w14:paraId="0000020B">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5100</w:t>
            </w:r>
          </w:p>
        </w:tc>
        <w:tc>
          <w:tcPr/>
          <w:p w:rsidR="00000000" w:rsidDel="00000000" w:rsidP="00000000" w:rsidRDefault="00000000" w:rsidRPr="00000000" w14:paraId="0000020D">
            <w:pPr>
              <w:spacing w:line="276"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34</w:t>
            </w:r>
          </w:p>
        </w:tc>
      </w:tr>
    </w:tbl>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bl>
      <w:tblPr>
        <w:tblStyle w:val="Table6"/>
        <w:tblW w:w="9488.0" w:type="dxa"/>
        <w:jc w:val="left"/>
        <w:tblLayout w:type="fixed"/>
        <w:tblLook w:val="0400"/>
      </w:tblPr>
      <w:tblGrid>
        <w:gridCol w:w="3534"/>
        <w:gridCol w:w="1365"/>
        <w:gridCol w:w="1612"/>
        <w:gridCol w:w="1560"/>
        <w:gridCol w:w="1417"/>
        <w:tblGridChange w:id="0">
          <w:tblGrid>
            <w:gridCol w:w="3534"/>
            <w:gridCol w:w="1365"/>
            <w:gridCol w:w="1612"/>
            <w:gridCol w:w="1560"/>
            <w:gridCol w:w="1417"/>
          </w:tblGrid>
        </w:tblGridChange>
      </w:tblGrid>
      <w:tr>
        <w:trPr>
          <w:cantSplit w:val="0"/>
          <w:trHeight w:val="330" w:hRule="atLeast"/>
          <w:tblHeader w:val="0"/>
        </w:trPr>
        <w:tc>
          <w:tcPr>
            <w:tcBorders>
              <w:top w:color="ffffff" w:space="0" w:sz="8" w:val="single"/>
              <w:left w:color="ffffff" w:space="0" w:sz="8" w:val="single"/>
              <w:bottom w:color="000000" w:space="0" w:sz="0" w:val="nil"/>
              <w:right w:color="ffffff" w:space="0" w:sz="8" w:val="single"/>
            </w:tcBorders>
            <w:shd w:fill="333334" w:val="clear"/>
            <w:vAlign w:val="center"/>
          </w:tcPr>
          <w:p w:rsidR="00000000" w:rsidDel="00000000" w:rsidP="00000000" w:rsidRDefault="00000000" w:rsidRPr="00000000" w14:paraId="0000020F">
            <w:pPr>
              <w:rPr>
                <w:rFonts w:ascii="Aptos Narrow" w:cs="Aptos Narrow" w:eastAsia="Aptos Narrow" w:hAnsi="Aptos Narrow"/>
                <w:b w:val="1"/>
                <w:color w:val="ffffff"/>
                <w:sz w:val="20"/>
                <w:szCs w:val="20"/>
              </w:rPr>
            </w:pPr>
            <w:r w:rsidDel="00000000" w:rsidR="00000000" w:rsidRPr="00000000">
              <w:rPr>
                <w:rFonts w:ascii="Aptos Narrow" w:cs="Aptos Narrow" w:eastAsia="Aptos Narrow" w:hAnsi="Aptos Narrow"/>
                <w:b w:val="1"/>
                <w:color w:val="ffffff"/>
                <w:sz w:val="20"/>
                <w:szCs w:val="20"/>
                <w:rtl w:val="0"/>
              </w:rPr>
              <w:t xml:space="preserve"> </w:t>
            </w:r>
          </w:p>
        </w:tc>
        <w:tc>
          <w:tcPr>
            <w:gridSpan w:val="4"/>
            <w:tcBorders>
              <w:top w:color="000000" w:space="0" w:sz="0" w:val="nil"/>
              <w:left w:color="000000" w:space="0" w:sz="0" w:val="nil"/>
              <w:bottom w:color="ffffff" w:space="0" w:sz="8" w:val="single"/>
              <w:right w:color="000000" w:space="0" w:sz="0" w:val="nil"/>
            </w:tcBorders>
            <w:shd w:fill="333334" w:val="clear"/>
            <w:vAlign w:val="center"/>
          </w:tcPr>
          <w:p w:rsidR="00000000" w:rsidDel="00000000" w:rsidP="00000000" w:rsidRDefault="00000000" w:rsidRPr="00000000" w14:paraId="00000210">
            <w:pPr>
              <w:jc w:val="center"/>
              <w:rPr>
                <w:rFonts w:ascii="Aptos Narrow" w:cs="Aptos Narrow" w:eastAsia="Aptos Narrow" w:hAnsi="Aptos Narrow"/>
                <w:b w:val="1"/>
                <w:color w:val="ffffff"/>
                <w:sz w:val="20"/>
                <w:szCs w:val="20"/>
              </w:rPr>
            </w:pPr>
            <w:r w:rsidDel="00000000" w:rsidR="00000000" w:rsidRPr="00000000">
              <w:rPr>
                <w:rFonts w:ascii="Aptos Narrow" w:cs="Aptos Narrow" w:eastAsia="Aptos Narrow" w:hAnsi="Aptos Narrow"/>
                <w:b w:val="1"/>
                <w:color w:val="ffffff"/>
                <w:sz w:val="20"/>
                <w:szCs w:val="20"/>
                <w:rtl w:val="0"/>
              </w:rPr>
              <w:t xml:space="preserve">Expectativas de la variación del Producto Interno Bruto (PIB)</w:t>
            </w:r>
          </w:p>
        </w:tc>
      </w:tr>
      <w:tr>
        <w:trPr>
          <w:cantSplit w:val="0"/>
          <w:trHeight w:val="615" w:hRule="atLeast"/>
          <w:tblHeader w:val="0"/>
        </w:trPr>
        <w:tc>
          <w:tcPr>
            <w:tcBorders>
              <w:top w:color="000000" w:space="0" w:sz="0" w:val="nil"/>
              <w:left w:color="ffffff" w:space="0" w:sz="8" w:val="single"/>
              <w:bottom w:color="ffffff" w:space="0" w:sz="8" w:val="single"/>
              <w:right w:color="ffffff" w:space="0" w:sz="8" w:val="single"/>
            </w:tcBorders>
            <w:shd w:fill="333334" w:val="clear"/>
            <w:vAlign w:val="center"/>
          </w:tcPr>
          <w:p w:rsidR="00000000" w:rsidDel="00000000" w:rsidP="00000000" w:rsidRDefault="00000000" w:rsidRPr="00000000" w14:paraId="00000214">
            <w:pPr>
              <w:jc w:val="center"/>
              <w:rPr>
                <w:rFonts w:ascii="Aptos Narrow" w:cs="Aptos Narrow" w:eastAsia="Aptos Narrow" w:hAnsi="Aptos Narrow"/>
                <w:b w:val="1"/>
                <w:color w:val="ffffff"/>
                <w:sz w:val="20"/>
                <w:szCs w:val="20"/>
              </w:rPr>
            </w:pPr>
            <w:r w:rsidDel="00000000" w:rsidR="00000000" w:rsidRPr="00000000">
              <w:rPr>
                <w:rFonts w:ascii="Aptos Narrow" w:cs="Aptos Narrow" w:eastAsia="Aptos Narrow" w:hAnsi="Aptos Narrow"/>
                <w:b w:val="1"/>
                <w:color w:val="ffffff"/>
                <w:sz w:val="20"/>
                <w:szCs w:val="20"/>
                <w:rtl w:val="0"/>
              </w:rPr>
              <w:t xml:space="preserve">Medidas estadísticas</w:t>
            </w:r>
          </w:p>
        </w:tc>
        <w:tc>
          <w:tcPr>
            <w:tcBorders>
              <w:top w:color="000000" w:space="0" w:sz="0" w:val="nil"/>
              <w:left w:color="000000" w:space="0" w:sz="0" w:val="nil"/>
              <w:bottom w:color="ffffff" w:space="0" w:sz="8" w:val="single"/>
              <w:right w:color="ffffff" w:space="0" w:sz="8" w:val="single"/>
            </w:tcBorders>
            <w:shd w:fill="333334" w:val="clear"/>
            <w:vAlign w:val="center"/>
          </w:tcPr>
          <w:p w:rsidR="00000000" w:rsidDel="00000000" w:rsidP="00000000" w:rsidRDefault="00000000" w:rsidRPr="00000000" w14:paraId="00000215">
            <w:pPr>
              <w:jc w:val="center"/>
              <w:rPr>
                <w:rFonts w:ascii="Aptos Narrow" w:cs="Aptos Narrow" w:eastAsia="Aptos Narrow" w:hAnsi="Aptos Narrow"/>
                <w:b w:val="1"/>
                <w:color w:val="ffffff"/>
                <w:sz w:val="20"/>
                <w:szCs w:val="20"/>
              </w:rPr>
            </w:pPr>
            <w:r w:rsidDel="00000000" w:rsidR="00000000" w:rsidRPr="00000000">
              <w:rPr>
                <w:rFonts w:ascii="Aptos Narrow" w:cs="Aptos Narrow" w:eastAsia="Aptos Narrow" w:hAnsi="Aptos Narrow"/>
                <w:b w:val="1"/>
                <w:color w:val="ffffff"/>
                <w:sz w:val="20"/>
                <w:szCs w:val="20"/>
                <w:rtl w:val="0"/>
              </w:rPr>
              <w:t xml:space="preserve">trim-II 2025</w:t>
            </w:r>
          </w:p>
        </w:tc>
        <w:tc>
          <w:tcPr>
            <w:tcBorders>
              <w:top w:color="000000" w:space="0" w:sz="0" w:val="nil"/>
              <w:left w:color="000000" w:space="0" w:sz="0" w:val="nil"/>
              <w:bottom w:color="ffffff" w:space="0" w:sz="8" w:val="single"/>
              <w:right w:color="ffffff" w:space="0" w:sz="8" w:val="single"/>
            </w:tcBorders>
            <w:shd w:fill="333334" w:val="clear"/>
            <w:vAlign w:val="center"/>
          </w:tcPr>
          <w:p w:rsidR="00000000" w:rsidDel="00000000" w:rsidP="00000000" w:rsidRDefault="00000000" w:rsidRPr="00000000" w14:paraId="00000216">
            <w:pPr>
              <w:jc w:val="center"/>
              <w:rPr>
                <w:rFonts w:ascii="Aptos Narrow" w:cs="Aptos Narrow" w:eastAsia="Aptos Narrow" w:hAnsi="Aptos Narrow"/>
                <w:b w:val="1"/>
                <w:color w:val="ffffff"/>
                <w:sz w:val="20"/>
                <w:szCs w:val="20"/>
              </w:rPr>
            </w:pPr>
            <w:r w:rsidDel="00000000" w:rsidR="00000000" w:rsidRPr="00000000">
              <w:rPr>
                <w:rFonts w:ascii="Aptos Narrow" w:cs="Aptos Narrow" w:eastAsia="Aptos Narrow" w:hAnsi="Aptos Narrow"/>
                <w:b w:val="1"/>
                <w:color w:val="ffffff"/>
                <w:sz w:val="20"/>
                <w:szCs w:val="20"/>
                <w:rtl w:val="0"/>
              </w:rPr>
              <w:t xml:space="preserve">trim-III 2025</w:t>
            </w:r>
          </w:p>
        </w:tc>
        <w:tc>
          <w:tcPr>
            <w:tcBorders>
              <w:top w:color="000000" w:space="0" w:sz="0" w:val="nil"/>
              <w:left w:color="000000" w:space="0" w:sz="0" w:val="nil"/>
              <w:bottom w:color="ffffff" w:space="0" w:sz="8" w:val="single"/>
              <w:right w:color="ffffff" w:space="0" w:sz="8" w:val="single"/>
            </w:tcBorders>
            <w:shd w:fill="333334" w:val="clear"/>
            <w:vAlign w:val="center"/>
          </w:tcPr>
          <w:p w:rsidR="00000000" w:rsidDel="00000000" w:rsidP="00000000" w:rsidRDefault="00000000" w:rsidRPr="00000000" w14:paraId="00000217">
            <w:pPr>
              <w:jc w:val="center"/>
              <w:rPr>
                <w:rFonts w:ascii="Aptos Narrow" w:cs="Aptos Narrow" w:eastAsia="Aptos Narrow" w:hAnsi="Aptos Narrow"/>
                <w:b w:val="1"/>
                <w:color w:val="ffffff"/>
                <w:sz w:val="20"/>
                <w:szCs w:val="20"/>
              </w:rPr>
            </w:pPr>
            <w:r w:rsidDel="00000000" w:rsidR="00000000" w:rsidRPr="00000000">
              <w:rPr>
                <w:rFonts w:ascii="Aptos Narrow" w:cs="Aptos Narrow" w:eastAsia="Aptos Narrow" w:hAnsi="Aptos Narrow"/>
                <w:b w:val="1"/>
                <w:color w:val="ffffff"/>
                <w:sz w:val="20"/>
                <w:szCs w:val="20"/>
                <w:rtl w:val="0"/>
              </w:rPr>
              <w:t xml:space="preserve">trim-IV 2025</w:t>
            </w:r>
          </w:p>
        </w:tc>
        <w:tc>
          <w:tcPr>
            <w:tcBorders>
              <w:top w:color="000000" w:space="0" w:sz="0" w:val="nil"/>
              <w:left w:color="000000" w:space="0" w:sz="0" w:val="nil"/>
              <w:bottom w:color="ffffff" w:space="0" w:sz="8" w:val="single"/>
              <w:right w:color="ffffff" w:space="0" w:sz="8" w:val="single"/>
            </w:tcBorders>
            <w:shd w:fill="333334" w:val="clear"/>
            <w:vAlign w:val="center"/>
          </w:tcPr>
          <w:p w:rsidR="00000000" w:rsidDel="00000000" w:rsidP="00000000" w:rsidRDefault="00000000" w:rsidRPr="00000000" w14:paraId="00000218">
            <w:pPr>
              <w:jc w:val="center"/>
              <w:rPr>
                <w:rFonts w:ascii="Aptos Narrow" w:cs="Aptos Narrow" w:eastAsia="Aptos Narrow" w:hAnsi="Aptos Narrow"/>
                <w:b w:val="1"/>
                <w:color w:val="ffffff"/>
                <w:sz w:val="20"/>
                <w:szCs w:val="20"/>
              </w:rPr>
            </w:pPr>
            <w:r w:rsidDel="00000000" w:rsidR="00000000" w:rsidRPr="00000000">
              <w:rPr>
                <w:rFonts w:ascii="Aptos Narrow" w:cs="Aptos Narrow" w:eastAsia="Aptos Narrow" w:hAnsi="Aptos Narrow"/>
                <w:b w:val="1"/>
                <w:color w:val="ffffff"/>
                <w:sz w:val="20"/>
                <w:szCs w:val="20"/>
                <w:rtl w:val="0"/>
              </w:rPr>
              <w:t xml:space="preserve">AÑO 2025</w:t>
            </w:r>
          </w:p>
        </w:tc>
      </w:tr>
      <w:tr>
        <w:trPr>
          <w:cantSplit w:val="0"/>
          <w:trHeight w:val="330" w:hRule="atLeast"/>
          <w:tblHeader w:val="0"/>
        </w:trPr>
        <w:tc>
          <w:tcPr>
            <w:gridSpan w:val="5"/>
            <w:tcBorders>
              <w:top w:color="000000" w:space="0" w:sz="0" w:val="nil"/>
              <w:left w:color="000000" w:space="0" w:sz="0" w:val="nil"/>
              <w:bottom w:color="000000" w:space="0" w:sz="8" w:val="single"/>
              <w:right w:color="000000" w:space="0" w:sz="0" w:val="nil"/>
            </w:tcBorders>
            <w:shd w:fill="333334" w:val="clear"/>
            <w:vAlign w:val="bottom"/>
          </w:tcPr>
          <w:p w:rsidR="00000000" w:rsidDel="00000000" w:rsidP="00000000" w:rsidRDefault="00000000" w:rsidRPr="00000000" w14:paraId="00000219">
            <w:pPr>
              <w:jc w:val="center"/>
              <w:rPr>
                <w:rFonts w:ascii="Aptos Narrow" w:cs="Aptos Narrow" w:eastAsia="Aptos Narrow" w:hAnsi="Aptos Narrow"/>
                <w:b w:val="1"/>
                <w:color w:val="ffffff"/>
                <w:sz w:val="20"/>
                <w:szCs w:val="20"/>
              </w:rPr>
            </w:pPr>
            <w:r w:rsidDel="00000000" w:rsidR="00000000" w:rsidRPr="00000000">
              <w:rPr>
                <w:rFonts w:ascii="Aptos Narrow" w:cs="Aptos Narrow" w:eastAsia="Aptos Narrow" w:hAnsi="Aptos Narrow"/>
                <w:b w:val="1"/>
                <w:color w:val="ffffff"/>
                <w:sz w:val="20"/>
                <w:szCs w:val="20"/>
                <w:rtl w:val="0"/>
              </w:rPr>
              <w:t xml:space="preserve">TODAS LAS ENTIDADES PARTICIPANTES</w:t>
            </w:r>
          </w:p>
        </w:tc>
      </w:tr>
      <w:tr>
        <w:trPr>
          <w:cantSplit w:val="0"/>
          <w:trHeight w:val="315" w:hRule="atLeast"/>
          <w:tblHeader w:val="0"/>
        </w:trPr>
        <w:tc>
          <w:tcPr>
            <w:gridSpan w:val="5"/>
            <w:tcBorders>
              <w:top w:color="000000" w:space="0" w:sz="8" w:val="single"/>
              <w:left w:color="000000" w:space="0" w:sz="8" w:val="single"/>
              <w:bottom w:color="000000" w:space="0" w:sz="0" w:val="nil"/>
              <w:right w:color="000000" w:space="0" w:sz="0" w:val="nil"/>
            </w:tcBorders>
            <w:shd w:fill="auto" w:val="clear"/>
            <w:vAlign w:val="bottom"/>
          </w:tcPr>
          <w:p w:rsidR="00000000" w:rsidDel="00000000" w:rsidP="00000000" w:rsidRDefault="00000000" w:rsidRPr="00000000" w14:paraId="0000021E">
            <w:pPr>
              <w:jc w:val="center"/>
              <w:rPr>
                <w:rFonts w:ascii="Aptos Narrow" w:cs="Aptos Narrow" w:eastAsia="Aptos Narrow" w:hAnsi="Aptos Narrow"/>
                <w:b w:val="1"/>
                <w:color w:val="000000"/>
                <w:sz w:val="20"/>
                <w:szCs w:val="20"/>
              </w:rPr>
            </w:pPr>
            <w:r w:rsidDel="00000000" w:rsidR="00000000" w:rsidRPr="00000000">
              <w:rPr>
                <w:rFonts w:ascii="Aptos Narrow" w:cs="Aptos Narrow" w:eastAsia="Aptos Narrow" w:hAnsi="Aptos Narrow"/>
                <w:b w:val="1"/>
                <w:color w:val="000000"/>
                <w:sz w:val="20"/>
                <w:szCs w:val="20"/>
                <w:rtl w:val="0"/>
              </w:rPr>
              <w:t xml:space="preserve">De tendencia:</w:t>
            </w:r>
          </w:p>
        </w:tc>
      </w:tr>
      <w:tr>
        <w:trPr>
          <w:cantSplit w:val="0"/>
          <w:trHeight w:val="315" w:hRule="atLeast"/>
          <w:tblHeader w:val="0"/>
        </w:trPr>
        <w:tc>
          <w:tcPr>
            <w:tcBorders>
              <w:top w:color="000000" w:space="0" w:sz="0" w:val="nil"/>
              <w:left w:color="000000" w:space="0" w:sz="8" w:val="single"/>
              <w:bottom w:color="000000" w:space="0" w:sz="0" w:val="nil"/>
              <w:right w:color="000000" w:space="0" w:sz="0" w:val="nil"/>
            </w:tcBorders>
            <w:shd w:fill="d9d9d9" w:val="clear"/>
            <w:vAlign w:val="bottom"/>
          </w:tcPr>
          <w:p w:rsidR="00000000" w:rsidDel="00000000" w:rsidP="00000000" w:rsidRDefault="00000000" w:rsidRPr="00000000" w14:paraId="00000223">
            <w:pP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   Media</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24">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2,40%</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25">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2,64%</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26">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2,74%</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27">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2,58%</w:t>
            </w:r>
          </w:p>
        </w:tc>
      </w:tr>
      <w:tr>
        <w:trPr>
          <w:cantSplit w:val="0"/>
          <w:trHeight w:val="315" w:hRule="atLeast"/>
          <w:tblHeader w:val="0"/>
        </w:trPr>
        <w:tc>
          <w:tcPr>
            <w:tcBorders>
              <w:top w:color="000000" w:space="0" w:sz="0" w:val="nil"/>
              <w:left w:color="000000" w:space="0" w:sz="8" w:val="single"/>
              <w:bottom w:color="000000" w:space="0" w:sz="0" w:val="nil"/>
              <w:right w:color="000000" w:space="0" w:sz="0" w:val="nil"/>
            </w:tcBorders>
            <w:shd w:fill="auto" w:val="clear"/>
            <w:vAlign w:val="bottom"/>
          </w:tcPr>
          <w:p w:rsidR="00000000" w:rsidDel="00000000" w:rsidP="00000000" w:rsidRDefault="00000000" w:rsidRPr="00000000" w14:paraId="00000228">
            <w:pPr>
              <w:rPr>
                <w:rFonts w:ascii="Aptos Narrow" w:cs="Aptos Narrow" w:eastAsia="Aptos Narrow" w:hAnsi="Aptos Narrow"/>
                <w:color w:val="000000"/>
                <w:sz w:val="20"/>
                <w:szCs w:val="20"/>
              </w:rPr>
            </w:pPr>
            <w:r w:rsidDel="00000000" w:rsidR="00000000" w:rsidRPr="00000000">
              <w:rPr>
                <w:rFonts w:ascii="Aptos Narrow" w:cs="Aptos Narrow" w:eastAsia="Aptos Narrow" w:hAnsi="Aptos Narrow"/>
                <w:color w:val="000000"/>
                <w:sz w:val="20"/>
                <w:szCs w:val="20"/>
                <w:rtl w:val="0"/>
              </w:rPr>
              <w:t xml:space="preserve">   Mediana</w:t>
            </w:r>
          </w:p>
        </w:tc>
        <w:tc>
          <w:tcPr>
            <w:tcBorders>
              <w:top w:color="000000" w:space="0" w:sz="0" w:val="nil"/>
              <w:left w:color="000000" w:space="0" w:sz="0" w:val="nil"/>
              <w:bottom w:color="000000" w:space="0" w:sz="0" w:val="nil"/>
              <w:right w:color="000000" w:space="0" w:sz="8" w:val="single"/>
            </w:tcBorders>
            <w:shd w:fill="auto" w:val="clear"/>
            <w:vAlign w:val="bottom"/>
          </w:tcPr>
          <w:p w:rsidR="00000000" w:rsidDel="00000000" w:rsidP="00000000" w:rsidRDefault="00000000" w:rsidRPr="00000000" w14:paraId="00000229">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2,42%</w:t>
            </w:r>
          </w:p>
        </w:tc>
        <w:tc>
          <w:tcPr>
            <w:tcBorders>
              <w:top w:color="000000" w:space="0" w:sz="0" w:val="nil"/>
              <w:left w:color="000000" w:space="0" w:sz="0" w:val="nil"/>
              <w:bottom w:color="000000" w:space="0" w:sz="0" w:val="nil"/>
              <w:right w:color="000000" w:space="0" w:sz="8" w:val="single"/>
            </w:tcBorders>
            <w:shd w:fill="auto" w:val="clear"/>
            <w:vAlign w:val="bottom"/>
          </w:tcPr>
          <w:p w:rsidR="00000000" w:rsidDel="00000000" w:rsidP="00000000" w:rsidRDefault="00000000" w:rsidRPr="00000000" w14:paraId="0000022A">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2,60%</w:t>
            </w:r>
          </w:p>
        </w:tc>
        <w:tc>
          <w:tcPr>
            <w:tcBorders>
              <w:top w:color="000000" w:space="0" w:sz="0" w:val="nil"/>
              <w:left w:color="000000" w:space="0" w:sz="0" w:val="nil"/>
              <w:bottom w:color="000000" w:space="0" w:sz="0" w:val="nil"/>
              <w:right w:color="000000" w:space="0" w:sz="8" w:val="single"/>
            </w:tcBorders>
            <w:shd w:fill="auto" w:val="clear"/>
            <w:vAlign w:val="bottom"/>
          </w:tcPr>
          <w:p w:rsidR="00000000" w:rsidDel="00000000" w:rsidP="00000000" w:rsidRDefault="00000000" w:rsidRPr="00000000" w14:paraId="0000022B">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2,80%</w:t>
            </w:r>
          </w:p>
        </w:tc>
        <w:tc>
          <w:tcPr>
            <w:tcBorders>
              <w:top w:color="000000" w:space="0" w:sz="0" w:val="nil"/>
              <w:left w:color="000000" w:space="0" w:sz="0" w:val="nil"/>
              <w:bottom w:color="000000" w:space="0" w:sz="0" w:val="nil"/>
              <w:right w:color="000000" w:space="0" w:sz="8" w:val="single"/>
            </w:tcBorders>
            <w:shd w:fill="auto" w:val="clear"/>
            <w:vAlign w:val="bottom"/>
          </w:tcPr>
          <w:p w:rsidR="00000000" w:rsidDel="00000000" w:rsidP="00000000" w:rsidRDefault="00000000" w:rsidRPr="00000000" w14:paraId="0000022C">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2,60%</w:t>
            </w:r>
          </w:p>
        </w:tc>
      </w:tr>
      <w:tr>
        <w:trPr>
          <w:cantSplit w:val="0"/>
          <w:trHeight w:val="330" w:hRule="atLeast"/>
          <w:tblHeader w:val="0"/>
        </w:trPr>
        <w:tc>
          <w:tcPr>
            <w:tcBorders>
              <w:top w:color="000000" w:space="0" w:sz="0" w:val="nil"/>
              <w:left w:color="000000" w:space="0" w:sz="8" w:val="single"/>
              <w:bottom w:color="000000" w:space="0" w:sz="0" w:val="nil"/>
              <w:right w:color="000000" w:space="0" w:sz="0" w:val="nil"/>
            </w:tcBorders>
            <w:shd w:fill="d9d9d9" w:val="clear"/>
            <w:vAlign w:val="bottom"/>
          </w:tcPr>
          <w:p w:rsidR="00000000" w:rsidDel="00000000" w:rsidP="00000000" w:rsidRDefault="00000000" w:rsidRPr="00000000" w14:paraId="0000022D">
            <w:pPr>
              <w:rPr>
                <w:rFonts w:ascii="Aptos Narrow" w:cs="Aptos Narrow" w:eastAsia="Aptos Narrow" w:hAnsi="Aptos Narrow"/>
                <w:color w:val="000000"/>
                <w:sz w:val="20"/>
                <w:szCs w:val="20"/>
              </w:rPr>
            </w:pPr>
            <w:r w:rsidDel="00000000" w:rsidR="00000000" w:rsidRPr="00000000">
              <w:rPr>
                <w:rFonts w:ascii="Aptos Narrow" w:cs="Aptos Narrow" w:eastAsia="Aptos Narrow" w:hAnsi="Aptos Narrow"/>
                <w:color w:val="000000"/>
                <w:sz w:val="20"/>
                <w:szCs w:val="20"/>
                <w:rtl w:val="0"/>
              </w:rPr>
              <w:t xml:space="preserve">   Moda</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2E">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 </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2F">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2,40%</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30">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3,00%</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31">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2,60%</w:t>
            </w:r>
          </w:p>
        </w:tc>
      </w:tr>
      <w:tr>
        <w:trPr>
          <w:cantSplit w:val="0"/>
          <w:trHeight w:val="315" w:hRule="atLeast"/>
          <w:tblHeader w:val="0"/>
        </w:trPr>
        <w:tc>
          <w:tcPr>
            <w:gridSpan w:val="5"/>
            <w:tcBorders>
              <w:top w:color="000000" w:space="0" w:sz="8" w:val="single"/>
              <w:left w:color="000000" w:space="0" w:sz="8" w:val="single"/>
              <w:bottom w:color="000000" w:space="0" w:sz="0" w:val="nil"/>
              <w:right w:color="000000" w:space="0" w:sz="0" w:val="nil"/>
            </w:tcBorders>
            <w:shd w:fill="auto" w:val="clear"/>
            <w:vAlign w:val="bottom"/>
          </w:tcPr>
          <w:p w:rsidR="00000000" w:rsidDel="00000000" w:rsidP="00000000" w:rsidRDefault="00000000" w:rsidRPr="00000000" w14:paraId="00000232">
            <w:pPr>
              <w:jc w:val="center"/>
              <w:rPr>
                <w:rFonts w:ascii="Aptos Narrow" w:cs="Aptos Narrow" w:eastAsia="Aptos Narrow" w:hAnsi="Aptos Narrow"/>
                <w:b w:val="1"/>
                <w:color w:val="000000"/>
                <w:sz w:val="20"/>
                <w:szCs w:val="20"/>
              </w:rPr>
            </w:pPr>
            <w:r w:rsidDel="00000000" w:rsidR="00000000" w:rsidRPr="00000000">
              <w:rPr>
                <w:rFonts w:ascii="Aptos Narrow" w:cs="Aptos Narrow" w:eastAsia="Aptos Narrow" w:hAnsi="Aptos Narrow"/>
                <w:b w:val="1"/>
                <w:color w:val="000000"/>
                <w:sz w:val="20"/>
                <w:szCs w:val="20"/>
                <w:rtl w:val="0"/>
              </w:rPr>
              <w:t xml:space="preserve">De dispersión</w:t>
            </w:r>
          </w:p>
        </w:tc>
      </w:tr>
      <w:tr>
        <w:trPr>
          <w:cantSplit w:val="0"/>
          <w:trHeight w:val="315" w:hRule="atLeast"/>
          <w:tblHeader w:val="0"/>
        </w:trPr>
        <w:tc>
          <w:tcPr>
            <w:tcBorders>
              <w:top w:color="000000" w:space="0" w:sz="0" w:val="nil"/>
              <w:left w:color="000000" w:space="0" w:sz="8" w:val="single"/>
              <w:bottom w:color="000000" w:space="0" w:sz="0" w:val="nil"/>
              <w:right w:color="000000" w:space="0" w:sz="0" w:val="nil"/>
            </w:tcBorders>
            <w:shd w:fill="d9d9d9" w:val="clear"/>
            <w:vAlign w:val="bottom"/>
          </w:tcPr>
          <w:p w:rsidR="00000000" w:rsidDel="00000000" w:rsidP="00000000" w:rsidRDefault="00000000" w:rsidRPr="00000000" w14:paraId="00000237">
            <w:pPr>
              <w:rPr>
                <w:rFonts w:ascii="Aptos Narrow" w:cs="Aptos Narrow" w:eastAsia="Aptos Narrow" w:hAnsi="Aptos Narrow"/>
                <w:color w:val="000000"/>
                <w:sz w:val="20"/>
                <w:szCs w:val="20"/>
              </w:rPr>
            </w:pPr>
            <w:r w:rsidDel="00000000" w:rsidR="00000000" w:rsidRPr="00000000">
              <w:rPr>
                <w:rFonts w:ascii="Aptos Narrow" w:cs="Aptos Narrow" w:eastAsia="Aptos Narrow" w:hAnsi="Aptos Narrow"/>
                <w:color w:val="000000"/>
                <w:sz w:val="20"/>
                <w:szCs w:val="20"/>
                <w:rtl w:val="0"/>
              </w:rPr>
              <w:t xml:space="preserve">   Desviación estándar</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38">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0,44%</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39">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0,40%</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3A">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0,57%</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3B">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0,30%</w:t>
            </w:r>
          </w:p>
        </w:tc>
      </w:tr>
      <w:tr>
        <w:trPr>
          <w:cantSplit w:val="0"/>
          <w:trHeight w:val="315" w:hRule="atLeast"/>
          <w:tblHeader w:val="0"/>
        </w:trPr>
        <w:tc>
          <w:tcPr>
            <w:tcBorders>
              <w:top w:color="000000" w:space="0" w:sz="0" w:val="nil"/>
              <w:left w:color="000000" w:space="0" w:sz="8" w:val="single"/>
              <w:bottom w:color="000000" w:space="0" w:sz="0" w:val="nil"/>
              <w:right w:color="000000" w:space="0" w:sz="0" w:val="nil"/>
            </w:tcBorders>
            <w:shd w:fill="auto" w:val="clear"/>
            <w:vAlign w:val="bottom"/>
          </w:tcPr>
          <w:p w:rsidR="00000000" w:rsidDel="00000000" w:rsidP="00000000" w:rsidRDefault="00000000" w:rsidRPr="00000000" w14:paraId="0000023C">
            <w:pPr>
              <w:rPr>
                <w:rFonts w:ascii="Aptos Narrow" w:cs="Aptos Narrow" w:eastAsia="Aptos Narrow" w:hAnsi="Aptos Narrow"/>
                <w:color w:val="000000"/>
                <w:sz w:val="20"/>
                <w:szCs w:val="20"/>
              </w:rPr>
            </w:pPr>
            <w:r w:rsidDel="00000000" w:rsidR="00000000" w:rsidRPr="00000000">
              <w:rPr>
                <w:rFonts w:ascii="Aptos Narrow" w:cs="Aptos Narrow" w:eastAsia="Aptos Narrow" w:hAnsi="Aptos Narrow"/>
                <w:color w:val="000000"/>
                <w:sz w:val="20"/>
                <w:szCs w:val="20"/>
                <w:rtl w:val="0"/>
              </w:rPr>
              <w:t xml:space="preserve">   Coeficiente de variación</w:t>
            </w:r>
          </w:p>
        </w:tc>
        <w:tc>
          <w:tcPr>
            <w:tcBorders>
              <w:top w:color="000000" w:space="0" w:sz="0" w:val="nil"/>
              <w:left w:color="000000" w:space="0" w:sz="0" w:val="nil"/>
              <w:bottom w:color="000000" w:space="0" w:sz="0" w:val="nil"/>
              <w:right w:color="000000" w:space="0" w:sz="8" w:val="single"/>
            </w:tcBorders>
            <w:shd w:fill="auto" w:val="clear"/>
            <w:vAlign w:val="bottom"/>
          </w:tcPr>
          <w:p w:rsidR="00000000" w:rsidDel="00000000" w:rsidP="00000000" w:rsidRDefault="00000000" w:rsidRPr="00000000" w14:paraId="0000023D">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18,23</w:t>
            </w:r>
          </w:p>
        </w:tc>
        <w:tc>
          <w:tcPr>
            <w:tcBorders>
              <w:top w:color="000000" w:space="0" w:sz="0" w:val="nil"/>
              <w:left w:color="000000" w:space="0" w:sz="0" w:val="nil"/>
              <w:bottom w:color="000000" w:space="0" w:sz="0" w:val="nil"/>
              <w:right w:color="000000" w:space="0" w:sz="8" w:val="single"/>
            </w:tcBorders>
            <w:shd w:fill="auto" w:val="clear"/>
            <w:vAlign w:val="bottom"/>
          </w:tcPr>
          <w:p w:rsidR="00000000" w:rsidDel="00000000" w:rsidP="00000000" w:rsidRDefault="00000000" w:rsidRPr="00000000" w14:paraId="0000023E">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15,33</w:t>
            </w:r>
          </w:p>
        </w:tc>
        <w:tc>
          <w:tcPr>
            <w:tcBorders>
              <w:top w:color="000000" w:space="0" w:sz="0" w:val="nil"/>
              <w:left w:color="000000" w:space="0" w:sz="0" w:val="nil"/>
              <w:bottom w:color="000000" w:space="0" w:sz="0" w:val="nil"/>
              <w:right w:color="000000" w:space="0" w:sz="8" w:val="single"/>
            </w:tcBorders>
            <w:shd w:fill="auto" w:val="clear"/>
            <w:vAlign w:val="bottom"/>
          </w:tcPr>
          <w:p w:rsidR="00000000" w:rsidDel="00000000" w:rsidP="00000000" w:rsidRDefault="00000000" w:rsidRPr="00000000" w14:paraId="0000023F">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20,73</w:t>
            </w:r>
          </w:p>
        </w:tc>
        <w:tc>
          <w:tcPr>
            <w:tcBorders>
              <w:top w:color="000000" w:space="0" w:sz="0" w:val="nil"/>
              <w:left w:color="000000" w:space="0" w:sz="0" w:val="nil"/>
              <w:bottom w:color="000000" w:space="0" w:sz="0" w:val="nil"/>
              <w:right w:color="000000" w:space="0" w:sz="8" w:val="single"/>
            </w:tcBorders>
            <w:shd w:fill="auto" w:val="clear"/>
            <w:vAlign w:val="bottom"/>
          </w:tcPr>
          <w:p w:rsidR="00000000" w:rsidDel="00000000" w:rsidP="00000000" w:rsidRDefault="00000000" w:rsidRPr="00000000" w14:paraId="00000240">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11,52</w:t>
            </w:r>
          </w:p>
        </w:tc>
      </w:tr>
      <w:tr>
        <w:trPr>
          <w:cantSplit w:val="0"/>
          <w:trHeight w:val="315" w:hRule="atLeast"/>
          <w:tblHeader w:val="0"/>
        </w:trPr>
        <w:tc>
          <w:tcPr>
            <w:tcBorders>
              <w:top w:color="000000" w:space="0" w:sz="0" w:val="nil"/>
              <w:left w:color="000000" w:space="0" w:sz="8" w:val="single"/>
              <w:bottom w:color="000000" w:space="0" w:sz="0" w:val="nil"/>
              <w:right w:color="000000" w:space="0" w:sz="0" w:val="nil"/>
            </w:tcBorders>
            <w:shd w:fill="d9d9d9" w:val="clear"/>
            <w:vAlign w:val="bottom"/>
          </w:tcPr>
          <w:p w:rsidR="00000000" w:rsidDel="00000000" w:rsidP="00000000" w:rsidRDefault="00000000" w:rsidRPr="00000000" w14:paraId="00000241">
            <w:pPr>
              <w:rPr>
                <w:rFonts w:ascii="Aptos Narrow" w:cs="Aptos Narrow" w:eastAsia="Aptos Narrow" w:hAnsi="Aptos Narrow"/>
                <w:color w:val="000000"/>
                <w:sz w:val="20"/>
                <w:szCs w:val="20"/>
              </w:rPr>
            </w:pPr>
            <w:r w:rsidDel="00000000" w:rsidR="00000000" w:rsidRPr="00000000">
              <w:rPr>
                <w:rFonts w:ascii="Aptos Narrow" w:cs="Aptos Narrow" w:eastAsia="Aptos Narrow" w:hAnsi="Aptos Narrow"/>
                <w:color w:val="000000"/>
                <w:sz w:val="20"/>
                <w:szCs w:val="20"/>
                <w:rtl w:val="0"/>
              </w:rPr>
              <w:t xml:space="preserve">   Mínimo</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42">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1,40%</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43">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1,70%</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44">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1,60%</w:t>
            </w:r>
          </w:p>
        </w:tc>
        <w:tc>
          <w:tcPr>
            <w:tcBorders>
              <w:top w:color="000000" w:space="0" w:sz="0" w:val="nil"/>
              <w:left w:color="000000" w:space="0" w:sz="0" w:val="nil"/>
              <w:bottom w:color="000000" w:space="0" w:sz="0" w:val="nil"/>
              <w:right w:color="000000" w:space="0" w:sz="8" w:val="single"/>
            </w:tcBorders>
            <w:shd w:fill="d9d9d9" w:val="clear"/>
            <w:vAlign w:val="bottom"/>
          </w:tcPr>
          <w:p w:rsidR="00000000" w:rsidDel="00000000" w:rsidP="00000000" w:rsidRDefault="00000000" w:rsidRPr="00000000" w14:paraId="00000245">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1,80%</w:t>
            </w:r>
          </w:p>
        </w:tc>
      </w:tr>
      <w:tr>
        <w:trPr>
          <w:cantSplit w:val="0"/>
          <w:trHeight w:val="330" w:hRule="atLeast"/>
          <w:tblHeader w:val="0"/>
        </w:trPr>
        <w:tc>
          <w:tcPr>
            <w:tcBorders>
              <w:top w:color="000000" w:space="0" w:sz="0" w:val="nil"/>
              <w:left w:color="000000" w:space="0" w:sz="8" w:val="single"/>
              <w:bottom w:color="000000" w:space="0" w:sz="4" w:val="single"/>
              <w:right w:color="000000" w:space="0" w:sz="0" w:val="nil"/>
            </w:tcBorders>
            <w:shd w:fill="auto" w:val="clear"/>
            <w:vAlign w:val="bottom"/>
          </w:tcPr>
          <w:p w:rsidR="00000000" w:rsidDel="00000000" w:rsidP="00000000" w:rsidRDefault="00000000" w:rsidRPr="00000000" w14:paraId="00000246">
            <w:pPr>
              <w:rPr>
                <w:rFonts w:ascii="Aptos Narrow" w:cs="Aptos Narrow" w:eastAsia="Aptos Narrow" w:hAnsi="Aptos Narrow"/>
                <w:color w:val="000000"/>
                <w:sz w:val="20"/>
                <w:szCs w:val="20"/>
              </w:rPr>
            </w:pPr>
            <w:r w:rsidDel="00000000" w:rsidR="00000000" w:rsidRPr="00000000">
              <w:rPr>
                <w:rFonts w:ascii="Aptos Narrow" w:cs="Aptos Narrow" w:eastAsia="Aptos Narrow" w:hAnsi="Aptos Narrow"/>
                <w:color w:val="000000"/>
                <w:sz w:val="20"/>
                <w:szCs w:val="20"/>
                <w:rtl w:val="0"/>
              </w:rPr>
              <w:t xml:space="preserve">   Máximo</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247">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3,00%</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248">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3,35%</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249">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4,39%</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24A">
            <w:pPr>
              <w:jc w:val="center"/>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3,20%</w:t>
            </w:r>
          </w:p>
        </w:tc>
      </w:tr>
      <w:tr>
        <w:trPr>
          <w:cantSplit w:val="0"/>
          <w:trHeight w:val="33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4B">
            <w:pPr>
              <w:rPr>
                <w:rFonts w:ascii="Aptos Narrow" w:cs="Aptos Narrow" w:eastAsia="Aptos Narrow" w:hAnsi="Aptos Narrow"/>
                <w:b w:val="1"/>
                <w:color w:val="000000"/>
                <w:sz w:val="20"/>
                <w:szCs w:val="20"/>
              </w:rPr>
            </w:pPr>
            <w:r w:rsidDel="00000000" w:rsidR="00000000" w:rsidRPr="00000000">
              <w:rPr>
                <w:rFonts w:ascii="Aptos Narrow" w:cs="Aptos Narrow" w:eastAsia="Aptos Narrow" w:hAnsi="Aptos Narrow"/>
                <w:b w:val="1"/>
                <w:color w:val="000000"/>
                <w:sz w:val="20"/>
                <w:szCs w:val="20"/>
                <w:rtl w:val="0"/>
              </w:rPr>
              <w:t xml:space="preserve">Número de participantes</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4C">
            <w:pPr>
              <w:jc w:val="center"/>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33</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4D">
            <w:pPr>
              <w:jc w:val="center"/>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33</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4E">
            <w:pPr>
              <w:jc w:val="center"/>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33</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4F">
            <w:pPr>
              <w:jc w:val="center"/>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37</w:t>
            </w:r>
          </w:p>
        </w:tc>
      </w:tr>
      <w:tr>
        <w:trPr>
          <w:cantSplit w:val="0"/>
          <w:trHeight w:val="330" w:hRule="atLeast"/>
          <w:tblHeader w:val="0"/>
        </w:trPr>
        <w:tc>
          <w:tcPr>
            <w:tcBorders>
              <w:top w:color="000000" w:space="0" w:sz="4" w:val="single"/>
            </w:tcBorders>
            <w:shd w:fill="auto" w:val="clear"/>
            <w:vAlign w:val="bottom"/>
          </w:tcPr>
          <w:p w:rsidR="00000000" w:rsidDel="00000000" w:rsidP="00000000" w:rsidRDefault="00000000" w:rsidRPr="00000000" w14:paraId="00000250">
            <w:pPr>
              <w:rPr>
                <w:rFonts w:ascii="Aptos Narrow" w:cs="Aptos Narrow" w:eastAsia="Aptos Narrow" w:hAnsi="Aptos Narrow"/>
                <w:b w:val="1"/>
                <w:color w:val="000000"/>
                <w:sz w:val="20"/>
                <w:szCs w:val="20"/>
              </w:rPr>
            </w:pPr>
            <w:r w:rsidDel="00000000" w:rsidR="00000000" w:rsidRPr="00000000">
              <w:rPr>
                <w:rtl w:val="0"/>
              </w:rPr>
            </w:r>
          </w:p>
        </w:tc>
        <w:tc>
          <w:tcPr>
            <w:tcBorders>
              <w:top w:color="000000" w:space="0" w:sz="4" w:val="single"/>
            </w:tcBorders>
            <w:shd w:fill="auto" w:val="clear"/>
            <w:vAlign w:val="bottom"/>
          </w:tcPr>
          <w:p w:rsidR="00000000" w:rsidDel="00000000" w:rsidP="00000000" w:rsidRDefault="00000000" w:rsidRPr="00000000" w14:paraId="00000251">
            <w:pPr>
              <w:jc w:val="center"/>
              <w:rPr>
                <w:rFonts w:ascii="Aptos Narrow" w:cs="Aptos Narrow" w:eastAsia="Aptos Narrow" w:hAnsi="Aptos Narrow"/>
                <w:b w:val="1"/>
                <w:sz w:val="20"/>
                <w:szCs w:val="20"/>
              </w:rPr>
            </w:pPr>
            <w:r w:rsidDel="00000000" w:rsidR="00000000" w:rsidRPr="00000000">
              <w:rPr>
                <w:rtl w:val="0"/>
              </w:rPr>
            </w:r>
          </w:p>
        </w:tc>
        <w:tc>
          <w:tcPr>
            <w:tcBorders>
              <w:top w:color="000000" w:space="0" w:sz="4" w:val="single"/>
            </w:tcBorders>
            <w:shd w:fill="auto" w:val="clear"/>
            <w:vAlign w:val="bottom"/>
          </w:tcPr>
          <w:p w:rsidR="00000000" w:rsidDel="00000000" w:rsidP="00000000" w:rsidRDefault="00000000" w:rsidRPr="00000000" w14:paraId="00000252">
            <w:pPr>
              <w:jc w:val="center"/>
              <w:rPr>
                <w:rFonts w:ascii="Aptos Narrow" w:cs="Aptos Narrow" w:eastAsia="Aptos Narrow" w:hAnsi="Aptos Narrow"/>
                <w:b w:val="1"/>
                <w:sz w:val="20"/>
                <w:szCs w:val="20"/>
              </w:rPr>
            </w:pPr>
            <w:r w:rsidDel="00000000" w:rsidR="00000000" w:rsidRPr="00000000">
              <w:rPr>
                <w:rtl w:val="0"/>
              </w:rPr>
            </w:r>
          </w:p>
        </w:tc>
        <w:tc>
          <w:tcPr>
            <w:tcBorders>
              <w:top w:color="000000" w:space="0" w:sz="4" w:val="single"/>
            </w:tcBorders>
            <w:shd w:fill="auto" w:val="clear"/>
            <w:vAlign w:val="bottom"/>
          </w:tcPr>
          <w:p w:rsidR="00000000" w:rsidDel="00000000" w:rsidP="00000000" w:rsidRDefault="00000000" w:rsidRPr="00000000" w14:paraId="00000253">
            <w:pPr>
              <w:jc w:val="center"/>
              <w:rPr>
                <w:rFonts w:ascii="Aptos Narrow" w:cs="Aptos Narrow" w:eastAsia="Aptos Narrow" w:hAnsi="Aptos Narrow"/>
                <w:b w:val="1"/>
                <w:sz w:val="20"/>
                <w:szCs w:val="20"/>
              </w:rPr>
            </w:pPr>
            <w:r w:rsidDel="00000000" w:rsidR="00000000" w:rsidRPr="00000000">
              <w:rPr>
                <w:rtl w:val="0"/>
              </w:rPr>
            </w:r>
          </w:p>
        </w:tc>
        <w:tc>
          <w:tcPr>
            <w:tcBorders>
              <w:top w:color="000000" w:space="0" w:sz="4" w:val="single"/>
            </w:tcBorders>
            <w:shd w:fill="auto" w:val="clear"/>
            <w:vAlign w:val="bottom"/>
          </w:tcPr>
          <w:p w:rsidR="00000000" w:rsidDel="00000000" w:rsidP="00000000" w:rsidRDefault="00000000" w:rsidRPr="00000000" w14:paraId="00000254">
            <w:pPr>
              <w:jc w:val="center"/>
              <w:rPr>
                <w:rFonts w:ascii="Aptos Narrow" w:cs="Aptos Narrow" w:eastAsia="Aptos Narrow" w:hAnsi="Aptos Narrow"/>
                <w:b w:val="1"/>
                <w:sz w:val="20"/>
                <w:szCs w:val="20"/>
              </w:rPr>
            </w:pPr>
            <w:r w:rsidDel="00000000" w:rsidR="00000000" w:rsidRPr="00000000">
              <w:rPr>
                <w:rtl w:val="0"/>
              </w:rPr>
            </w:r>
          </w:p>
        </w:tc>
      </w:tr>
    </w:tbl>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ptos Narrow" w:cs="Aptos Narrow" w:eastAsia="Aptos Narrow" w:hAnsi="Aptos Narrow"/>
          <w:b w:val="1"/>
          <w:sz w:val="20"/>
          <w:szCs w:val="20"/>
        </w:rPr>
      </w:pPr>
      <w:r w:rsidDel="00000000" w:rsidR="00000000" w:rsidRPr="00000000">
        <w:rPr>
          <w:rtl w:val="0"/>
        </w:rPr>
      </w:r>
    </w:p>
    <w:tbl>
      <w:tblPr>
        <w:tblStyle w:val="Table7"/>
        <w:tblW w:w="9451.000000000002"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45"/>
        <w:gridCol w:w="1692"/>
        <w:gridCol w:w="1410"/>
        <w:gridCol w:w="1551"/>
        <w:gridCol w:w="1553"/>
        <w:tblGridChange w:id="0">
          <w:tblGrid>
            <w:gridCol w:w="3245"/>
            <w:gridCol w:w="1692"/>
            <w:gridCol w:w="1410"/>
            <w:gridCol w:w="1551"/>
            <w:gridCol w:w="1553"/>
          </w:tblGrid>
        </w:tblGridChange>
      </w:tblGrid>
      <w:tr>
        <w:trPr>
          <w:cantSplit w:val="0"/>
          <w:trHeight w:val="371" w:hRule="atLeast"/>
          <w:tblHeader w:val="0"/>
        </w:trPr>
        <w:tc>
          <w:tcPr>
            <w:gridSpan w:val="5"/>
          </w:tcPr>
          <w:p w:rsidR="00000000" w:rsidDel="00000000" w:rsidP="00000000" w:rsidRDefault="00000000" w:rsidRPr="00000000" w14:paraId="00000256">
            <w:pPr>
              <w:spacing w:line="276" w:lineRule="auto"/>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RESULTADOS DE LA ENCUESTA MENSUAL DE EXPECTATIVAS ECONOMICAS</w:t>
            </w:r>
          </w:p>
        </w:tc>
      </w:tr>
      <w:tr>
        <w:trPr>
          <w:cantSplit w:val="0"/>
          <w:trHeight w:val="327" w:hRule="atLeast"/>
          <w:tblHeader w:val="0"/>
        </w:trPr>
        <w:tc>
          <w:tcPr>
            <w:gridSpan w:val="5"/>
          </w:tcPr>
          <w:p w:rsidR="00000000" w:rsidDel="00000000" w:rsidP="00000000" w:rsidRDefault="00000000" w:rsidRPr="00000000" w14:paraId="0000025B">
            <w:pPr>
              <w:spacing w:line="276" w:lineRule="auto"/>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Fecha de realización: del 10 de enero al 14 de enero de 2025</w:t>
            </w:r>
          </w:p>
        </w:tc>
      </w:tr>
      <w:tr>
        <w:trPr>
          <w:cantSplit w:val="0"/>
          <w:trHeight w:val="327" w:hRule="atLeast"/>
          <w:tblHeader w:val="0"/>
        </w:trPr>
        <w:tc>
          <w:tcPr/>
          <w:p w:rsidR="00000000" w:rsidDel="00000000" w:rsidP="00000000" w:rsidRDefault="00000000" w:rsidRPr="00000000" w14:paraId="00000260">
            <w:pPr>
              <w:spacing w:line="276" w:lineRule="auto"/>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 </w:t>
            </w:r>
          </w:p>
        </w:tc>
        <w:tc>
          <w:tcPr>
            <w:gridSpan w:val="4"/>
            <w:shd w:fill="bf8f00" w:val="clear"/>
          </w:tcPr>
          <w:p w:rsidR="00000000" w:rsidDel="00000000" w:rsidP="00000000" w:rsidRDefault="00000000" w:rsidRPr="00000000" w14:paraId="00000261">
            <w:pPr>
              <w:spacing w:line="276" w:lineRule="auto"/>
              <w:jc w:val="center"/>
              <w:rPr>
                <w:rFonts w:ascii="Arial" w:cs="Arial" w:eastAsia="Arial" w:hAnsi="Arial"/>
                <w:b w:val="1"/>
                <w:sz w:val="16"/>
                <w:szCs w:val="16"/>
              </w:rPr>
            </w:pPr>
            <w:r w:rsidDel="00000000" w:rsidR="00000000" w:rsidRPr="00000000">
              <w:rPr>
                <w:rFonts w:ascii="Arial" w:cs="Arial" w:eastAsia="Arial" w:hAnsi="Arial"/>
                <w:b w:val="1"/>
                <w:color w:val="ffffff"/>
                <w:sz w:val="16"/>
                <w:szCs w:val="16"/>
                <w:rtl w:val="0"/>
              </w:rPr>
              <w:t xml:space="preserve">Expectativas de desempleo</w:t>
            </w:r>
            <w:r w:rsidDel="00000000" w:rsidR="00000000" w:rsidRPr="00000000">
              <w:rPr>
                <w:rtl w:val="0"/>
              </w:rPr>
            </w:r>
          </w:p>
        </w:tc>
      </w:tr>
      <w:tr>
        <w:trPr>
          <w:cantSplit w:val="0"/>
          <w:trHeight w:val="610" w:hRule="atLeast"/>
          <w:tblHeader w:val="0"/>
        </w:trPr>
        <w:tc>
          <w:tcPr/>
          <w:p w:rsidR="00000000" w:rsidDel="00000000" w:rsidP="00000000" w:rsidRDefault="00000000" w:rsidRPr="00000000" w14:paraId="00000265">
            <w:pPr>
              <w:spacing w:line="276" w:lineRule="auto"/>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Medidas estadísticas</w:t>
            </w:r>
          </w:p>
        </w:tc>
        <w:tc>
          <w:tcPr>
            <w:shd w:fill="bf8f00" w:val="clear"/>
          </w:tcPr>
          <w:p w:rsidR="00000000" w:rsidDel="00000000" w:rsidP="00000000" w:rsidRDefault="00000000" w:rsidRPr="00000000" w14:paraId="00000266">
            <w:pPr>
              <w:spacing w:line="276"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trim-I 2025</w:t>
            </w:r>
          </w:p>
        </w:tc>
        <w:tc>
          <w:tcPr>
            <w:shd w:fill="bf8f00" w:val="clear"/>
          </w:tcPr>
          <w:p w:rsidR="00000000" w:rsidDel="00000000" w:rsidP="00000000" w:rsidRDefault="00000000" w:rsidRPr="00000000" w14:paraId="00000267">
            <w:pPr>
              <w:spacing w:line="276"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trim-II 2025</w:t>
            </w:r>
          </w:p>
        </w:tc>
        <w:tc>
          <w:tcPr>
            <w:shd w:fill="bf8f00" w:val="clear"/>
          </w:tcPr>
          <w:p w:rsidR="00000000" w:rsidDel="00000000" w:rsidP="00000000" w:rsidRDefault="00000000" w:rsidRPr="00000000" w14:paraId="00000268">
            <w:pPr>
              <w:spacing w:line="276"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trim-III 2025</w:t>
            </w:r>
          </w:p>
        </w:tc>
        <w:tc>
          <w:tcPr>
            <w:shd w:fill="bf8f00" w:val="clear"/>
          </w:tcPr>
          <w:p w:rsidR="00000000" w:rsidDel="00000000" w:rsidP="00000000" w:rsidRDefault="00000000" w:rsidRPr="00000000" w14:paraId="00000269">
            <w:pPr>
              <w:spacing w:line="276"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trim-IV 2025</w:t>
            </w:r>
          </w:p>
        </w:tc>
      </w:tr>
      <w:tr>
        <w:trPr>
          <w:cantSplit w:val="0"/>
          <w:trHeight w:val="327" w:hRule="atLeast"/>
          <w:tblHeader w:val="0"/>
        </w:trPr>
        <w:tc>
          <w:tcPr>
            <w:gridSpan w:val="5"/>
          </w:tcPr>
          <w:p w:rsidR="00000000" w:rsidDel="00000000" w:rsidP="00000000" w:rsidRDefault="00000000" w:rsidRPr="00000000" w14:paraId="0000026A">
            <w:pPr>
              <w:spacing w:line="276" w:lineRule="auto"/>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TODAS LAS ENTIDADES PARTICIPANTES</w:t>
            </w:r>
          </w:p>
        </w:tc>
      </w:tr>
      <w:tr>
        <w:trPr>
          <w:cantSplit w:val="0"/>
          <w:trHeight w:val="312" w:hRule="atLeast"/>
          <w:tblHeader w:val="0"/>
        </w:trPr>
        <w:tc>
          <w:tcPr>
            <w:gridSpan w:val="5"/>
          </w:tcPr>
          <w:p w:rsidR="00000000" w:rsidDel="00000000" w:rsidP="00000000" w:rsidRDefault="00000000" w:rsidRPr="00000000" w14:paraId="0000026F">
            <w:pPr>
              <w:spacing w:line="276" w:lineRule="auto"/>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De tendencia:</w:t>
            </w:r>
          </w:p>
        </w:tc>
      </w:tr>
      <w:tr>
        <w:trPr>
          <w:cantSplit w:val="0"/>
          <w:trHeight w:val="312" w:hRule="atLeast"/>
          <w:tblHeader w:val="0"/>
        </w:trPr>
        <w:tc>
          <w:tcPr/>
          <w:p w:rsidR="00000000" w:rsidDel="00000000" w:rsidP="00000000" w:rsidRDefault="00000000" w:rsidRPr="00000000" w14:paraId="00000274">
            <w:pPr>
              <w:spacing w:line="276" w:lineRule="auto"/>
              <w:jc w:val="both"/>
              <w:rPr>
                <w:rFonts w:ascii="Arial" w:cs="Arial" w:eastAsia="Arial" w:hAnsi="Arial"/>
                <w:sz w:val="16"/>
                <w:szCs w:val="16"/>
              </w:rPr>
            </w:pPr>
            <w:r w:rsidDel="00000000" w:rsidR="00000000" w:rsidRPr="00000000">
              <w:rPr>
                <w:rFonts w:ascii="Arial" w:cs="Arial" w:eastAsia="Arial" w:hAnsi="Arial"/>
                <w:sz w:val="16"/>
                <w:szCs w:val="16"/>
                <w:rtl w:val="0"/>
              </w:rPr>
              <w:t xml:space="preserve">   Media</w:t>
            </w:r>
          </w:p>
        </w:tc>
        <w:tc>
          <w:tcPr/>
          <w:p w:rsidR="00000000" w:rsidDel="00000000" w:rsidP="00000000" w:rsidRDefault="00000000" w:rsidRPr="00000000" w14:paraId="00000275">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10,83%</w:t>
            </w:r>
          </w:p>
        </w:tc>
        <w:tc>
          <w:tcPr/>
          <w:p w:rsidR="00000000" w:rsidDel="00000000" w:rsidP="00000000" w:rsidRDefault="00000000" w:rsidRPr="00000000" w14:paraId="00000276">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10,32%</w:t>
            </w:r>
          </w:p>
        </w:tc>
        <w:tc>
          <w:tcPr/>
          <w:p w:rsidR="00000000" w:rsidDel="00000000" w:rsidP="00000000" w:rsidRDefault="00000000" w:rsidRPr="00000000" w14:paraId="00000277">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9,91%</w:t>
            </w:r>
          </w:p>
        </w:tc>
        <w:tc>
          <w:tcPr/>
          <w:p w:rsidR="00000000" w:rsidDel="00000000" w:rsidP="00000000" w:rsidRDefault="00000000" w:rsidRPr="00000000" w14:paraId="00000278">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9,67%</w:t>
            </w:r>
          </w:p>
        </w:tc>
      </w:tr>
      <w:tr>
        <w:trPr>
          <w:cantSplit w:val="0"/>
          <w:trHeight w:val="312" w:hRule="atLeast"/>
          <w:tblHeader w:val="0"/>
        </w:trPr>
        <w:tc>
          <w:tcPr/>
          <w:p w:rsidR="00000000" w:rsidDel="00000000" w:rsidP="00000000" w:rsidRDefault="00000000" w:rsidRPr="00000000" w14:paraId="00000279">
            <w:pPr>
              <w:spacing w:line="276" w:lineRule="auto"/>
              <w:jc w:val="both"/>
              <w:rPr>
                <w:rFonts w:ascii="Arial" w:cs="Arial" w:eastAsia="Arial" w:hAnsi="Arial"/>
                <w:sz w:val="16"/>
                <w:szCs w:val="16"/>
              </w:rPr>
            </w:pPr>
            <w:r w:rsidDel="00000000" w:rsidR="00000000" w:rsidRPr="00000000">
              <w:rPr>
                <w:rFonts w:ascii="Arial" w:cs="Arial" w:eastAsia="Arial" w:hAnsi="Arial"/>
                <w:sz w:val="16"/>
                <w:szCs w:val="16"/>
                <w:rtl w:val="0"/>
              </w:rPr>
              <w:t xml:space="preserve">   Mediana</w:t>
            </w:r>
          </w:p>
        </w:tc>
        <w:tc>
          <w:tcPr/>
          <w:p w:rsidR="00000000" w:rsidDel="00000000" w:rsidP="00000000" w:rsidRDefault="00000000" w:rsidRPr="00000000" w14:paraId="0000027A">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10,87%</w:t>
            </w:r>
          </w:p>
        </w:tc>
        <w:tc>
          <w:tcPr/>
          <w:p w:rsidR="00000000" w:rsidDel="00000000" w:rsidP="00000000" w:rsidRDefault="00000000" w:rsidRPr="00000000" w14:paraId="0000027B">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10,30%</w:t>
            </w:r>
          </w:p>
        </w:tc>
        <w:tc>
          <w:tcPr/>
          <w:p w:rsidR="00000000" w:rsidDel="00000000" w:rsidP="00000000" w:rsidRDefault="00000000" w:rsidRPr="00000000" w14:paraId="0000027C">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9,96%</w:t>
            </w:r>
          </w:p>
        </w:tc>
        <w:tc>
          <w:tcPr/>
          <w:p w:rsidR="00000000" w:rsidDel="00000000" w:rsidP="00000000" w:rsidRDefault="00000000" w:rsidRPr="00000000" w14:paraId="0000027D">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9,80%</w:t>
            </w:r>
          </w:p>
        </w:tc>
      </w:tr>
      <w:tr>
        <w:trPr>
          <w:cantSplit w:val="0"/>
          <w:trHeight w:val="327" w:hRule="atLeast"/>
          <w:tblHeader w:val="0"/>
        </w:trPr>
        <w:tc>
          <w:tcPr/>
          <w:p w:rsidR="00000000" w:rsidDel="00000000" w:rsidP="00000000" w:rsidRDefault="00000000" w:rsidRPr="00000000" w14:paraId="0000027E">
            <w:pPr>
              <w:spacing w:line="276" w:lineRule="auto"/>
              <w:jc w:val="both"/>
              <w:rPr>
                <w:rFonts w:ascii="Arial" w:cs="Arial" w:eastAsia="Arial" w:hAnsi="Arial"/>
                <w:sz w:val="16"/>
                <w:szCs w:val="16"/>
              </w:rPr>
            </w:pPr>
            <w:r w:rsidDel="00000000" w:rsidR="00000000" w:rsidRPr="00000000">
              <w:rPr>
                <w:rFonts w:ascii="Arial" w:cs="Arial" w:eastAsia="Arial" w:hAnsi="Arial"/>
                <w:sz w:val="16"/>
                <w:szCs w:val="16"/>
                <w:rtl w:val="0"/>
              </w:rPr>
              <w:t xml:space="preserve">   Moda</w:t>
            </w:r>
          </w:p>
        </w:tc>
        <w:tc>
          <w:tcPr/>
          <w:p w:rsidR="00000000" w:rsidDel="00000000" w:rsidP="00000000" w:rsidRDefault="00000000" w:rsidRPr="00000000" w14:paraId="0000027F">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10,60%</w:t>
            </w:r>
          </w:p>
        </w:tc>
        <w:tc>
          <w:tcPr/>
          <w:p w:rsidR="00000000" w:rsidDel="00000000" w:rsidP="00000000" w:rsidRDefault="00000000" w:rsidRPr="00000000" w14:paraId="00000280">
            <w:pPr>
              <w:spacing w:line="276" w:lineRule="auto"/>
              <w:jc w:val="center"/>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281">
            <w:pPr>
              <w:spacing w:line="276" w:lineRule="auto"/>
              <w:jc w:val="center"/>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282">
            <w:pPr>
              <w:spacing w:line="276" w:lineRule="auto"/>
              <w:jc w:val="center"/>
              <w:rPr>
                <w:rFonts w:ascii="Arial" w:cs="Arial" w:eastAsia="Arial" w:hAnsi="Arial"/>
                <w:sz w:val="16"/>
                <w:szCs w:val="16"/>
              </w:rPr>
            </w:pPr>
            <w:r w:rsidDel="00000000" w:rsidR="00000000" w:rsidRPr="00000000">
              <w:rPr>
                <w:rtl w:val="0"/>
              </w:rPr>
            </w:r>
          </w:p>
        </w:tc>
      </w:tr>
      <w:tr>
        <w:trPr>
          <w:cantSplit w:val="0"/>
          <w:trHeight w:val="312" w:hRule="atLeast"/>
          <w:tblHeader w:val="0"/>
        </w:trPr>
        <w:tc>
          <w:tcPr>
            <w:gridSpan w:val="5"/>
          </w:tcPr>
          <w:p w:rsidR="00000000" w:rsidDel="00000000" w:rsidP="00000000" w:rsidRDefault="00000000" w:rsidRPr="00000000" w14:paraId="00000283">
            <w:pPr>
              <w:spacing w:line="276"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De dispersión</w:t>
            </w:r>
          </w:p>
        </w:tc>
      </w:tr>
      <w:tr>
        <w:trPr>
          <w:cantSplit w:val="0"/>
          <w:trHeight w:val="312" w:hRule="atLeast"/>
          <w:tblHeader w:val="0"/>
        </w:trPr>
        <w:tc>
          <w:tcPr/>
          <w:p w:rsidR="00000000" w:rsidDel="00000000" w:rsidP="00000000" w:rsidRDefault="00000000" w:rsidRPr="00000000" w14:paraId="00000288">
            <w:pPr>
              <w:spacing w:line="276" w:lineRule="auto"/>
              <w:jc w:val="both"/>
              <w:rPr>
                <w:rFonts w:ascii="Arial" w:cs="Arial" w:eastAsia="Arial" w:hAnsi="Arial"/>
                <w:sz w:val="16"/>
                <w:szCs w:val="16"/>
              </w:rPr>
            </w:pPr>
            <w:r w:rsidDel="00000000" w:rsidR="00000000" w:rsidRPr="00000000">
              <w:rPr>
                <w:rFonts w:ascii="Arial" w:cs="Arial" w:eastAsia="Arial" w:hAnsi="Arial"/>
                <w:sz w:val="16"/>
                <w:szCs w:val="16"/>
                <w:rtl w:val="0"/>
              </w:rPr>
              <w:t xml:space="preserve">   Desviación estándar</w:t>
            </w:r>
          </w:p>
        </w:tc>
        <w:tc>
          <w:tcPr/>
          <w:p w:rsidR="00000000" w:rsidDel="00000000" w:rsidP="00000000" w:rsidRDefault="00000000" w:rsidRPr="00000000" w14:paraId="00000289">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0,66%</w:t>
            </w:r>
          </w:p>
        </w:tc>
        <w:tc>
          <w:tcPr/>
          <w:p w:rsidR="00000000" w:rsidDel="00000000" w:rsidP="00000000" w:rsidRDefault="00000000" w:rsidRPr="00000000" w14:paraId="0000028A">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0,45%</w:t>
            </w:r>
          </w:p>
        </w:tc>
        <w:tc>
          <w:tcPr/>
          <w:p w:rsidR="00000000" w:rsidDel="00000000" w:rsidP="00000000" w:rsidRDefault="00000000" w:rsidRPr="00000000" w14:paraId="0000028B">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0,53%</w:t>
            </w:r>
          </w:p>
        </w:tc>
        <w:tc>
          <w:tcPr/>
          <w:p w:rsidR="00000000" w:rsidDel="00000000" w:rsidP="00000000" w:rsidRDefault="00000000" w:rsidRPr="00000000" w14:paraId="0000028C">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0,66%</w:t>
            </w:r>
          </w:p>
        </w:tc>
      </w:tr>
      <w:tr>
        <w:trPr>
          <w:cantSplit w:val="0"/>
          <w:trHeight w:val="312" w:hRule="atLeast"/>
          <w:tblHeader w:val="0"/>
        </w:trPr>
        <w:tc>
          <w:tcPr/>
          <w:p w:rsidR="00000000" w:rsidDel="00000000" w:rsidP="00000000" w:rsidRDefault="00000000" w:rsidRPr="00000000" w14:paraId="0000028D">
            <w:pPr>
              <w:spacing w:line="276" w:lineRule="auto"/>
              <w:jc w:val="both"/>
              <w:rPr>
                <w:rFonts w:ascii="Arial" w:cs="Arial" w:eastAsia="Arial" w:hAnsi="Arial"/>
                <w:sz w:val="16"/>
                <w:szCs w:val="16"/>
              </w:rPr>
            </w:pPr>
            <w:r w:rsidDel="00000000" w:rsidR="00000000" w:rsidRPr="00000000">
              <w:rPr>
                <w:rFonts w:ascii="Arial" w:cs="Arial" w:eastAsia="Arial" w:hAnsi="Arial"/>
                <w:sz w:val="16"/>
                <w:szCs w:val="16"/>
                <w:rtl w:val="0"/>
              </w:rPr>
              <w:t xml:space="preserve">   Coeficiente de variación</w:t>
            </w:r>
          </w:p>
        </w:tc>
        <w:tc>
          <w:tcPr/>
          <w:p w:rsidR="00000000" w:rsidDel="00000000" w:rsidP="00000000" w:rsidRDefault="00000000" w:rsidRPr="00000000" w14:paraId="0000028E">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6,09</w:t>
            </w:r>
          </w:p>
        </w:tc>
        <w:tc>
          <w:tcPr/>
          <w:p w:rsidR="00000000" w:rsidDel="00000000" w:rsidP="00000000" w:rsidRDefault="00000000" w:rsidRPr="00000000" w14:paraId="0000028F">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4,34</w:t>
            </w:r>
          </w:p>
        </w:tc>
        <w:tc>
          <w:tcPr/>
          <w:p w:rsidR="00000000" w:rsidDel="00000000" w:rsidP="00000000" w:rsidRDefault="00000000" w:rsidRPr="00000000" w14:paraId="00000290">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5,37</w:t>
            </w:r>
          </w:p>
        </w:tc>
        <w:tc>
          <w:tcPr/>
          <w:p w:rsidR="00000000" w:rsidDel="00000000" w:rsidP="00000000" w:rsidRDefault="00000000" w:rsidRPr="00000000" w14:paraId="00000291">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6,83</w:t>
            </w:r>
          </w:p>
        </w:tc>
      </w:tr>
      <w:tr>
        <w:trPr>
          <w:cantSplit w:val="0"/>
          <w:trHeight w:val="312" w:hRule="atLeast"/>
          <w:tblHeader w:val="0"/>
        </w:trPr>
        <w:tc>
          <w:tcPr/>
          <w:p w:rsidR="00000000" w:rsidDel="00000000" w:rsidP="00000000" w:rsidRDefault="00000000" w:rsidRPr="00000000" w14:paraId="00000292">
            <w:pPr>
              <w:spacing w:line="276" w:lineRule="auto"/>
              <w:jc w:val="both"/>
              <w:rPr>
                <w:rFonts w:ascii="Arial" w:cs="Arial" w:eastAsia="Arial" w:hAnsi="Arial"/>
                <w:sz w:val="16"/>
                <w:szCs w:val="16"/>
              </w:rPr>
            </w:pPr>
            <w:r w:rsidDel="00000000" w:rsidR="00000000" w:rsidRPr="00000000">
              <w:rPr>
                <w:rFonts w:ascii="Arial" w:cs="Arial" w:eastAsia="Arial" w:hAnsi="Arial"/>
                <w:sz w:val="16"/>
                <w:szCs w:val="16"/>
                <w:rtl w:val="0"/>
              </w:rPr>
              <w:t xml:space="preserve">   Mínimo</w:t>
            </w:r>
          </w:p>
        </w:tc>
        <w:tc>
          <w:tcPr/>
          <w:p w:rsidR="00000000" w:rsidDel="00000000" w:rsidP="00000000" w:rsidRDefault="00000000" w:rsidRPr="00000000" w14:paraId="00000293">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9,74%</w:t>
            </w:r>
          </w:p>
        </w:tc>
        <w:tc>
          <w:tcPr/>
          <w:p w:rsidR="00000000" w:rsidDel="00000000" w:rsidP="00000000" w:rsidRDefault="00000000" w:rsidRPr="00000000" w14:paraId="00000294">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9,30%</w:t>
            </w:r>
          </w:p>
        </w:tc>
        <w:tc>
          <w:tcPr/>
          <w:p w:rsidR="00000000" w:rsidDel="00000000" w:rsidP="00000000" w:rsidRDefault="00000000" w:rsidRPr="00000000" w14:paraId="00000295">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8,75%</w:t>
            </w:r>
          </w:p>
        </w:tc>
        <w:tc>
          <w:tcPr/>
          <w:p w:rsidR="00000000" w:rsidDel="00000000" w:rsidP="00000000" w:rsidRDefault="00000000" w:rsidRPr="00000000" w14:paraId="00000296">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8,30%</w:t>
            </w:r>
          </w:p>
        </w:tc>
      </w:tr>
      <w:tr>
        <w:trPr>
          <w:cantSplit w:val="0"/>
          <w:trHeight w:val="327" w:hRule="atLeast"/>
          <w:tblHeader w:val="0"/>
        </w:trPr>
        <w:tc>
          <w:tcPr/>
          <w:p w:rsidR="00000000" w:rsidDel="00000000" w:rsidP="00000000" w:rsidRDefault="00000000" w:rsidRPr="00000000" w14:paraId="00000297">
            <w:pPr>
              <w:spacing w:line="276" w:lineRule="auto"/>
              <w:jc w:val="both"/>
              <w:rPr>
                <w:rFonts w:ascii="Arial" w:cs="Arial" w:eastAsia="Arial" w:hAnsi="Arial"/>
                <w:sz w:val="16"/>
                <w:szCs w:val="16"/>
              </w:rPr>
            </w:pPr>
            <w:r w:rsidDel="00000000" w:rsidR="00000000" w:rsidRPr="00000000">
              <w:rPr>
                <w:rFonts w:ascii="Arial" w:cs="Arial" w:eastAsia="Arial" w:hAnsi="Arial"/>
                <w:sz w:val="16"/>
                <w:szCs w:val="16"/>
                <w:rtl w:val="0"/>
              </w:rPr>
              <w:t xml:space="preserve">   Máximo</w:t>
            </w:r>
          </w:p>
        </w:tc>
        <w:tc>
          <w:tcPr/>
          <w:p w:rsidR="00000000" w:rsidDel="00000000" w:rsidP="00000000" w:rsidRDefault="00000000" w:rsidRPr="00000000" w14:paraId="00000298">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12,30%</w:t>
            </w:r>
          </w:p>
        </w:tc>
        <w:tc>
          <w:tcPr/>
          <w:p w:rsidR="00000000" w:rsidDel="00000000" w:rsidP="00000000" w:rsidRDefault="00000000" w:rsidRPr="00000000" w14:paraId="00000299">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11,00%</w:t>
            </w:r>
          </w:p>
        </w:tc>
        <w:tc>
          <w:tcPr/>
          <w:p w:rsidR="00000000" w:rsidDel="00000000" w:rsidP="00000000" w:rsidRDefault="00000000" w:rsidRPr="00000000" w14:paraId="0000029A">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11,00%</w:t>
            </w:r>
          </w:p>
        </w:tc>
        <w:tc>
          <w:tcPr/>
          <w:p w:rsidR="00000000" w:rsidDel="00000000" w:rsidP="00000000" w:rsidRDefault="00000000" w:rsidRPr="00000000" w14:paraId="0000029B">
            <w:pPr>
              <w:spacing w:line="276" w:lineRule="auto"/>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10,70%</w:t>
            </w:r>
          </w:p>
        </w:tc>
      </w:tr>
      <w:tr>
        <w:trPr>
          <w:cantSplit w:val="0"/>
          <w:trHeight w:val="327" w:hRule="atLeast"/>
          <w:tblHeader w:val="0"/>
        </w:trPr>
        <w:tc>
          <w:tcPr/>
          <w:p w:rsidR="00000000" w:rsidDel="00000000" w:rsidP="00000000" w:rsidRDefault="00000000" w:rsidRPr="00000000" w14:paraId="0000029C">
            <w:pPr>
              <w:spacing w:line="276" w:lineRule="auto"/>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Número de participantes</w:t>
            </w:r>
          </w:p>
        </w:tc>
        <w:tc>
          <w:tcPr/>
          <w:p w:rsidR="00000000" w:rsidDel="00000000" w:rsidP="00000000" w:rsidRDefault="00000000" w:rsidRPr="00000000" w14:paraId="0000029D">
            <w:pPr>
              <w:spacing w:line="276"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19</w:t>
            </w:r>
          </w:p>
        </w:tc>
        <w:tc>
          <w:tcPr/>
          <w:p w:rsidR="00000000" w:rsidDel="00000000" w:rsidP="00000000" w:rsidRDefault="00000000" w:rsidRPr="00000000" w14:paraId="0000029E">
            <w:pPr>
              <w:spacing w:line="276"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19</w:t>
            </w:r>
          </w:p>
        </w:tc>
        <w:tc>
          <w:tcPr/>
          <w:p w:rsidR="00000000" w:rsidDel="00000000" w:rsidP="00000000" w:rsidRDefault="00000000" w:rsidRPr="00000000" w14:paraId="0000029F">
            <w:pPr>
              <w:spacing w:line="276"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19</w:t>
            </w:r>
          </w:p>
        </w:tc>
        <w:tc>
          <w:tcPr/>
          <w:p w:rsidR="00000000" w:rsidDel="00000000" w:rsidP="00000000" w:rsidRDefault="00000000" w:rsidRPr="00000000" w14:paraId="000002A0">
            <w:pPr>
              <w:spacing w:line="276"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21</w:t>
            </w:r>
          </w:p>
        </w:tc>
      </w:tr>
    </w:tbl>
    <w:p w:rsidR="00000000" w:rsidDel="00000000" w:rsidP="00000000" w:rsidRDefault="00000000" w:rsidRPr="00000000" w14:paraId="000002A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Fuente: Banco de la República</w:t>
      </w:r>
    </w:p>
    <w:p w:rsidR="00000000" w:rsidDel="00000000" w:rsidP="00000000" w:rsidRDefault="00000000" w:rsidRPr="00000000" w14:paraId="000002A2">
      <w:pPr>
        <w:spacing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Reducción gradual, pero alentadora</w:t>
      </w:r>
    </w:p>
    <w:p w:rsidR="00000000" w:rsidDel="00000000" w:rsidP="00000000" w:rsidRDefault="00000000" w:rsidRPr="00000000" w14:paraId="000002A3">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4">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comportamiento descendente de la inflación es una señal positiva para los colombianos, quienes enfrentarán ajustes controlados en servicios esenciales. Desde el costo del arriendo hasta los recibos de agua, luz y gas, los incrementos estarán sujetos al límite del 5,2 %, brindando un respiro al bolsillo de las familias.</w:t>
      </w:r>
    </w:p>
    <w:p w:rsidR="00000000" w:rsidDel="00000000" w:rsidP="00000000" w:rsidRDefault="00000000" w:rsidRPr="00000000" w14:paraId="000002A5">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6">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 esta reducción, Colombia consolida una tendencia que, de mantenerse, acercará al país a los niveles inflacionarios de 2021, cuando el IPC fue del 5,62 %. La meta, sin embargo, sigue siendo alcanzar el 3 %, lo que requerirá mantener políticas económicas que refuercen la estabilidad lograda hasta ahora.</w:t>
      </w:r>
    </w:p>
    <w:p w:rsidR="00000000" w:rsidDel="00000000" w:rsidP="00000000" w:rsidRDefault="00000000" w:rsidRPr="00000000" w14:paraId="000002A7">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8">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tabs>
          <w:tab w:val="left" w:leader="none" w:pos="284"/>
        </w:tabs>
        <w:spacing w:after="0" w:before="0" w:line="240" w:lineRule="auto"/>
        <w:ind w:left="720" w:right="0"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CONDICIONES MÍNIMAS REQUERIDAS:</w:t>
      </w:r>
    </w:p>
    <w:p w:rsidR="00000000" w:rsidDel="00000000" w:rsidP="00000000" w:rsidRDefault="00000000" w:rsidRPr="00000000" w14:paraId="000002A9">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A">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Ejecutar el objeto del Contrato en las condiciones de calidad, oportunidad, y obligaciones definidas en los Documentos del Proceso de contratación.</w:t>
      </w:r>
    </w:p>
    <w:p w:rsidR="00000000" w:rsidDel="00000000" w:rsidP="00000000" w:rsidRDefault="00000000" w:rsidRPr="00000000" w14:paraId="000002AB">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Cumplir con las especificaciones técnicas del objeto presentadas en la oferta. </w:t>
      </w:r>
    </w:p>
    <w:p w:rsidR="00000000" w:rsidDel="00000000" w:rsidP="00000000" w:rsidRDefault="00000000" w:rsidRPr="00000000" w14:paraId="000002AC">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Dar a conocer al SENA cualquier reclamación, petición, orden o similar de terceros que indirecta o directamente pueda tener algún efecto sobre la ejecución del Contrato o sobre sus obligaciones. </w:t>
      </w:r>
    </w:p>
    <w:p w:rsidR="00000000" w:rsidDel="00000000" w:rsidP="00000000" w:rsidRDefault="00000000" w:rsidRPr="00000000" w14:paraId="000002AD">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Obrar con lealtad y buena fe en el desarrollo del contrato. </w:t>
      </w:r>
    </w:p>
    <w:p w:rsidR="00000000" w:rsidDel="00000000" w:rsidP="00000000" w:rsidRDefault="00000000" w:rsidRPr="00000000" w14:paraId="000002AE">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Los servicios para adquirir deberán ser prestados en el Centro Agropecuario la Granja El Espinal, en el tiempo y en las condiciones requeridas por el SENA.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AF">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Cumplimiento de requisitos legales, ambientales, de eficiencia energética y seguridad y salud en el trabajo de acuerdo con el GCCON-AN-001AnexodeVerificacionCriteriosdeContratacionV5, los cuales son:</w:t>
      </w:r>
    </w:p>
    <w:tbl>
      <w:tblPr>
        <w:tblStyle w:val="Table8"/>
        <w:tblW w:w="8973.0" w:type="dxa"/>
        <w:jc w:val="left"/>
        <w:tblLayout w:type="fixed"/>
        <w:tblLook w:val="0400"/>
      </w:tblPr>
      <w:tblGrid>
        <w:gridCol w:w="7361"/>
        <w:gridCol w:w="1612"/>
        <w:tblGridChange w:id="0">
          <w:tblGrid>
            <w:gridCol w:w="7361"/>
            <w:gridCol w:w="1612"/>
          </w:tblGrid>
        </w:tblGridChange>
      </w:tblGrid>
      <w:tr>
        <w:trPr>
          <w:cantSplit w:val="0"/>
          <w:trHeight w:val="450" w:hRule="atLeast"/>
          <w:tblHeader w:val="0"/>
        </w:trPr>
        <w:tc>
          <w:tcPr>
            <w:tcBorders>
              <w:top w:color="000000" w:space="0" w:sz="8" w:val="single"/>
              <w:left w:color="000000" w:space="0" w:sz="8" w:val="single"/>
              <w:bottom w:color="000000" w:space="0" w:sz="8" w:val="single"/>
              <w:right w:color="000000" w:space="0" w:sz="0" w:val="nil"/>
            </w:tcBorders>
            <w:shd w:fill="404040" w:val="clear"/>
            <w:vAlign w:val="center"/>
          </w:tcPr>
          <w:p w:rsidR="00000000" w:rsidDel="00000000" w:rsidP="00000000" w:rsidRDefault="00000000" w:rsidRPr="00000000" w14:paraId="000002B0">
            <w:pPr>
              <w:rPr>
                <w:rFonts w:ascii="Arial" w:cs="Arial" w:eastAsia="Arial" w:hAnsi="Arial"/>
                <w:b w:val="1"/>
                <w:color w:val="ffffff"/>
                <w:sz w:val="22"/>
                <w:szCs w:val="22"/>
              </w:rPr>
            </w:pPr>
            <w:r w:rsidDel="00000000" w:rsidR="00000000" w:rsidRPr="00000000">
              <w:rPr>
                <w:rFonts w:ascii="Arial" w:cs="Arial" w:eastAsia="Arial" w:hAnsi="Arial"/>
                <w:b w:val="1"/>
                <w:color w:val="ffffff"/>
                <w:sz w:val="22"/>
                <w:szCs w:val="22"/>
                <w:rtl w:val="0"/>
              </w:rPr>
              <w:t xml:space="preserve">DESCRIPCIÓN DEL CRITERIO</w:t>
            </w:r>
          </w:p>
        </w:tc>
        <w:tc>
          <w:tcPr>
            <w:tcBorders>
              <w:top w:color="000000" w:space="0" w:sz="8" w:val="single"/>
              <w:left w:color="000000" w:space="0" w:sz="8" w:val="single"/>
              <w:bottom w:color="000000" w:space="0" w:sz="8" w:val="single"/>
              <w:right w:color="000000" w:space="0" w:sz="0" w:val="nil"/>
            </w:tcBorders>
            <w:shd w:fill="404040" w:val="clear"/>
            <w:vAlign w:val="center"/>
          </w:tcPr>
          <w:p w:rsidR="00000000" w:rsidDel="00000000" w:rsidP="00000000" w:rsidRDefault="00000000" w:rsidRPr="00000000" w14:paraId="000002B1">
            <w:pPr>
              <w:rPr>
                <w:rFonts w:ascii="Arial" w:cs="Arial" w:eastAsia="Arial" w:hAnsi="Arial"/>
                <w:b w:val="1"/>
                <w:color w:val="ffffff"/>
                <w:sz w:val="22"/>
                <w:szCs w:val="22"/>
              </w:rPr>
            </w:pPr>
            <w:r w:rsidDel="00000000" w:rsidR="00000000" w:rsidRPr="00000000">
              <w:rPr>
                <w:rFonts w:ascii="Arial" w:cs="Arial" w:eastAsia="Arial" w:hAnsi="Arial"/>
                <w:b w:val="1"/>
                <w:color w:val="ffffff"/>
                <w:sz w:val="22"/>
                <w:szCs w:val="22"/>
                <w:rtl w:val="0"/>
              </w:rPr>
              <w:t xml:space="preserve">ETAPA</w:t>
            </w:r>
          </w:p>
        </w:tc>
      </w:tr>
      <w:tr>
        <w:trPr>
          <w:cantSplit w:val="0"/>
          <w:trHeight w:val="450" w:hRule="atLeast"/>
          <w:tblHeader w:val="0"/>
        </w:trPr>
        <w:tc>
          <w:tcPr>
            <w:tcBorders>
              <w:top w:color="000000" w:space="0" w:sz="8" w:val="single"/>
              <w:left w:color="000000" w:space="0" w:sz="8" w:val="single"/>
              <w:bottom w:color="000000" w:space="0" w:sz="8" w:val="single"/>
              <w:right w:color="000000" w:space="0" w:sz="0" w:val="nil"/>
            </w:tcBorders>
            <w:shd w:fill="404040" w:val="clear"/>
            <w:vAlign w:val="center"/>
          </w:tcPr>
          <w:p w:rsidR="00000000" w:rsidDel="00000000" w:rsidP="00000000" w:rsidRDefault="00000000" w:rsidRPr="00000000" w14:paraId="000002B2">
            <w:pPr>
              <w:rPr>
                <w:rFonts w:ascii="Arial" w:cs="Arial" w:eastAsia="Arial" w:hAnsi="Arial"/>
                <w:b w:val="1"/>
                <w:color w:val="ffffff"/>
                <w:sz w:val="22"/>
                <w:szCs w:val="22"/>
              </w:rPr>
            </w:pPr>
            <w:r w:rsidDel="00000000" w:rsidR="00000000" w:rsidRPr="00000000">
              <w:rPr>
                <w:rFonts w:ascii="Arial" w:cs="Arial" w:eastAsia="Arial" w:hAnsi="Arial"/>
                <w:b w:val="1"/>
                <w:color w:val="ffffff"/>
                <w:sz w:val="22"/>
                <w:szCs w:val="22"/>
                <w:rtl w:val="0"/>
              </w:rPr>
              <w:t xml:space="preserve">Criterios para contratar el servicio de fumigación</w:t>
            </w:r>
          </w:p>
        </w:tc>
        <w:tc>
          <w:tcPr>
            <w:tcBorders>
              <w:top w:color="000000" w:space="0" w:sz="8" w:val="single"/>
              <w:left w:color="000000" w:space="0" w:sz="8" w:val="single"/>
              <w:bottom w:color="000000" w:space="0" w:sz="8" w:val="single"/>
              <w:right w:color="000000" w:space="0" w:sz="0" w:val="nil"/>
            </w:tcBorders>
            <w:shd w:fill="404040" w:val="clear"/>
            <w:vAlign w:val="center"/>
          </w:tcPr>
          <w:p w:rsidR="00000000" w:rsidDel="00000000" w:rsidP="00000000" w:rsidRDefault="00000000" w:rsidRPr="00000000" w14:paraId="000002B3">
            <w:pPr>
              <w:rPr>
                <w:rFonts w:ascii="Arial" w:cs="Arial" w:eastAsia="Arial" w:hAnsi="Arial"/>
                <w:b w:val="1"/>
                <w:color w:val="ffffff"/>
                <w:sz w:val="22"/>
                <w:szCs w:val="22"/>
              </w:rPr>
            </w:pPr>
            <w:r w:rsidDel="00000000" w:rsidR="00000000" w:rsidRPr="00000000">
              <w:rPr>
                <w:rtl w:val="0"/>
              </w:rPr>
            </w:r>
          </w:p>
        </w:tc>
      </w:tr>
      <w:tr>
        <w:trPr>
          <w:cantSplit w:val="0"/>
          <w:trHeight w:val="568" w:hRule="atLeast"/>
          <w:tblHeader w:val="0"/>
        </w:trPr>
        <w:tc>
          <w:tcPr>
            <w:tcBorders>
              <w:top w:color="000000" w:space="0" w:sz="4" w:val="single"/>
              <w:left w:color="000000" w:space="0" w:sz="8" w:val="single"/>
              <w:bottom w:color="000000" w:space="0" w:sz="4" w:val="single"/>
              <w:right w:color="000000" w:space="0" w:sz="0" w:val="nil"/>
            </w:tcBorders>
            <w:shd w:fill="auto" w:val="clear"/>
            <w:vAlign w:val="center"/>
          </w:tcPr>
          <w:p w:rsidR="00000000" w:rsidDel="00000000" w:rsidP="00000000" w:rsidRDefault="00000000" w:rsidRPr="00000000" w14:paraId="000002B4">
            <w:pP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Entregar copia de los permisos sanitarios y ambientales de funcionamiento para en departamento del Tolima</w:t>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B5">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Precontractual</w:t>
            </w:r>
          </w:p>
        </w:tc>
      </w:tr>
      <w:tr>
        <w:trPr>
          <w:cantSplit w:val="0"/>
          <w:trHeight w:val="2556" w:hRule="atLeast"/>
          <w:tblHeader w:val="0"/>
        </w:trPr>
        <w:tc>
          <w:tcPr>
            <w:tcBorders>
              <w:top w:color="000000" w:space="0" w:sz="0" w:val="nil"/>
              <w:left w:color="000000" w:space="0" w:sz="8" w:val="single"/>
              <w:bottom w:color="000000" w:space="0" w:sz="4" w:val="single"/>
              <w:right w:color="000000" w:space="0" w:sz="0" w:val="nil"/>
            </w:tcBorders>
            <w:shd w:fill="auto" w:val="clear"/>
            <w:vAlign w:val="center"/>
          </w:tcPr>
          <w:p w:rsidR="00000000" w:rsidDel="00000000" w:rsidP="00000000" w:rsidRDefault="00000000" w:rsidRPr="00000000" w14:paraId="000002B6">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Entregar copia de las fichas de datos de seguridad de los Plaguicidas en idioma español </w:t>
              <w:br w:type="textWrapping"/>
              <w:br w:type="textWrapping"/>
            </w:r>
            <w:r w:rsidDel="00000000" w:rsidR="00000000" w:rsidRPr="00000000">
              <w:rPr>
                <w:rFonts w:ascii="Arial" w:cs="Arial" w:eastAsia="Arial" w:hAnsi="Arial"/>
                <w:b w:val="1"/>
                <w:color w:val="000000"/>
                <w:sz w:val="22"/>
                <w:szCs w:val="22"/>
                <w:rtl w:val="0"/>
              </w:rPr>
              <w:t xml:space="preserve">Nota: La empresa aplacadora de plaguicidas en edificaciones, vehículos, productos almacenados o no y área publica, solo podrán utilizar plaguicidas registrados y permitidos por el Ministerio de Salud y Protección Social, los cuales, a excepción de los rodenticidas, fumigantes de granos e inmunizantes de madera en ningún otro caso podrán ser de categoría toxicológica I y II. Art 114 Decreto 1843 de 1991</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B7">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Contractual</w:t>
            </w:r>
          </w:p>
        </w:tc>
      </w:tr>
      <w:tr>
        <w:trPr>
          <w:cantSplit w:val="0"/>
          <w:trHeight w:val="836" w:hRule="atLeast"/>
          <w:tblHeader w:val="0"/>
        </w:trPr>
        <w:tc>
          <w:tcPr>
            <w:tcBorders>
              <w:top w:color="000000" w:space="0" w:sz="0" w:val="nil"/>
              <w:left w:color="000000" w:space="0" w:sz="8" w:val="single"/>
              <w:bottom w:color="000000" w:space="0" w:sz="4" w:val="single"/>
              <w:right w:color="000000" w:space="0" w:sz="0" w:val="nil"/>
            </w:tcBorders>
            <w:shd w:fill="auto" w:val="clear"/>
            <w:vAlign w:val="center"/>
          </w:tcPr>
          <w:p w:rsidR="00000000" w:rsidDel="00000000" w:rsidP="00000000" w:rsidRDefault="00000000" w:rsidRPr="00000000" w14:paraId="000002B8">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Entregar soportes que acrediten que está vinculado con los planes posconsumo para entrega de envases de plaguicidas, establecidos por el fabricante. Articulo 14 Resolución 1675 de 2013</w:t>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B9">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Precontractual</w:t>
            </w:r>
          </w:p>
        </w:tc>
      </w:tr>
      <w:tr>
        <w:trPr>
          <w:cantSplit w:val="0"/>
          <w:trHeight w:val="4385" w:hRule="atLeast"/>
          <w:tblHeader w:val="0"/>
        </w:trPr>
        <w:tc>
          <w:tcPr>
            <w:tcBorders>
              <w:top w:color="000000" w:space="0" w:sz="0" w:val="nil"/>
              <w:left w:color="000000" w:space="0" w:sz="8" w:val="single"/>
              <w:bottom w:color="000000" w:space="0" w:sz="4" w:val="single"/>
              <w:right w:color="000000" w:space="0" w:sz="0" w:val="nil"/>
            </w:tcBorders>
            <w:shd w:fill="auto" w:val="clear"/>
            <w:vAlign w:val="center"/>
          </w:tcPr>
          <w:p w:rsidR="00000000" w:rsidDel="00000000" w:rsidP="00000000" w:rsidRDefault="00000000" w:rsidRPr="00000000" w14:paraId="000002BA">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Entregar soportes de curso de capacitación y entrenamiento del personal y copias del carnet del personal que va a aplicar los plaguicidas. Los soportes de los cursos deben acreditar una intensidad mínima de 60 horas acumulables al año. La actualización y entrenamiento del curso deberá hacerse anualmente mediante eventos de capacitación o conferencias y prácticas específicas de acuerdo al manejo de nuevos plaguicidas o equipos. Articulo 172 y Artículo 175 del  Decreto 1843 de 1991</w:t>
              <w:br w:type="textWrapping"/>
              <w:br w:type="textWrapping"/>
            </w:r>
            <w:r w:rsidDel="00000000" w:rsidR="00000000" w:rsidRPr="00000000">
              <w:rPr>
                <w:rFonts w:ascii="Arial" w:cs="Arial" w:eastAsia="Arial" w:hAnsi="Arial"/>
                <w:b w:val="1"/>
                <w:sz w:val="22"/>
                <w:szCs w:val="22"/>
                <w:rtl w:val="0"/>
              </w:rPr>
              <w:t xml:space="preserve">Nota 1: el SENA verificará durante la prestación del servicio, que las certificaciones de los cursos correspondan a las mismas personas que están prestando el servicio de aplicación de plaguicidas.</w:t>
              <w:br w:type="textWrapping"/>
              <w:br w:type="textWrapping"/>
              <w:t xml:space="preserve">Nota 2: La capacitación y el entrenamiento deben ser efectuados por el SENA, las autoridades de salud e ICA y demás entidades que hagan parte del Sistema Nacional de Transferencia de Tecnología en los niveles operativos correspondientes o por universidades e institutos Tecnológicos. </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BB">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Contractual</w:t>
            </w:r>
          </w:p>
        </w:tc>
      </w:tr>
      <w:tr>
        <w:trPr>
          <w:cantSplit w:val="0"/>
          <w:trHeight w:val="64" w:hRule="atLeast"/>
          <w:tblHeader w:val="0"/>
        </w:trPr>
        <w:tc>
          <w:tcPr>
            <w:tcBorders>
              <w:top w:color="000000" w:space="0" w:sz="4" w:val="single"/>
              <w:left w:color="000000" w:space="0" w:sz="4" w:val="single"/>
              <w:bottom w:color="000000" w:space="0" w:sz="4" w:val="single"/>
              <w:right w:color="000000" w:space="0" w:sz="0" w:val="nil"/>
            </w:tcBorders>
            <w:shd w:fill="auto" w:val="clear"/>
            <w:vAlign w:val="center"/>
          </w:tcPr>
          <w:p w:rsidR="00000000" w:rsidDel="00000000" w:rsidP="00000000" w:rsidRDefault="00000000" w:rsidRPr="00000000" w14:paraId="000002BC">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Presentar protocolos informando métodos de aplicación a utilizar, cantidad, especificaciones técnicas de los equipos a utilizar y de los elementos de protección personal, tratamiento que recibirán los desechos de los plaguicidas, instrucciones e indicaciones sobre el control integral de vectores.</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BD">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Contractual</w:t>
            </w:r>
          </w:p>
        </w:tc>
      </w:tr>
      <w:tr>
        <w:trPr>
          <w:cantSplit w:val="0"/>
          <w:trHeight w:val="64" w:hRule="atLeast"/>
          <w:tblHeader w:val="0"/>
        </w:trPr>
        <w:tc>
          <w:tcPr>
            <w:tcBorders>
              <w:top w:color="000000" w:space="0" w:sz="4" w:val="single"/>
              <w:left w:color="000000" w:space="0" w:sz="4" w:val="single"/>
              <w:bottom w:color="000000" w:space="0" w:sz="4" w:val="single"/>
              <w:right w:color="000000" w:space="0" w:sz="0" w:val="nil"/>
            </w:tcBorders>
            <w:shd w:fill="auto" w:val="clear"/>
            <w:vAlign w:val="center"/>
          </w:tcPr>
          <w:p w:rsidR="00000000" w:rsidDel="00000000" w:rsidP="00000000" w:rsidRDefault="00000000" w:rsidRPr="00000000" w14:paraId="000002BE">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1. Certificado de implementación del SG-SST firmada por el Representante Legal y Responsable del SG-SST</w:t>
              <w:br w:type="textWrapping"/>
              <w:br w:type="textWrapping"/>
              <w:t xml:space="preserve">2. Fotocopia de cédula, Certificado Vigente Curso de SG-SST de 50 Horas o su actualización Curso de 20 Horas y licencia de seguridad y salud en el trabajo del profesional Responsable del SG-SST.</w:t>
              <w:br w:type="textWrapping"/>
              <w:br w:type="textWrapping"/>
              <w:t xml:space="preserve">3.Evaluacion de estándares mínimos y respectivo plan de acción de acuerdo a la aplicación de estándares mínimos aplicables - Dec. 1072/2015(2.2.4.6.1) y Res 0312-2019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BF">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Precontractual</w:t>
            </w:r>
          </w:p>
        </w:tc>
      </w:tr>
      <w:tr>
        <w:trPr>
          <w:cantSplit w:val="0"/>
          <w:trHeight w:val="64" w:hRule="atLeast"/>
          <w:tblHeader w:val="0"/>
        </w:trPr>
        <w:tc>
          <w:tcPr>
            <w:tcBorders>
              <w:top w:color="000000" w:space="0" w:sz="4" w:val="single"/>
              <w:left w:color="000000" w:space="0" w:sz="4" w:val="single"/>
              <w:bottom w:color="000000" w:space="0" w:sz="4" w:val="single"/>
              <w:right w:color="000000" w:space="0" w:sz="0" w:val="nil"/>
            </w:tcBorders>
            <w:shd w:fill="auto" w:val="clear"/>
            <w:vAlign w:val="center"/>
          </w:tcPr>
          <w:p w:rsidR="00000000" w:rsidDel="00000000" w:rsidP="00000000" w:rsidRDefault="00000000" w:rsidRPr="00000000" w14:paraId="000002C0">
            <w:pPr>
              <w:jc w:val="both"/>
              <w:rPr>
                <w:rFonts w:ascii="Arial" w:cs="Arial" w:eastAsia="Arial" w:hAnsi="Arial"/>
                <w:color w:val="000000"/>
                <w:sz w:val="22"/>
                <w:szCs w:val="22"/>
              </w:rPr>
            </w:pPr>
            <w:r w:rsidDel="00000000" w:rsidR="00000000" w:rsidRPr="00000000">
              <w:rPr>
                <w:rFonts w:ascii="Calibri" w:cs="Calibri" w:eastAsia="Calibri" w:hAnsi="Calibri"/>
                <w:sz w:val="22"/>
                <w:szCs w:val="22"/>
                <w:rtl w:val="0"/>
              </w:rPr>
              <w:t xml:space="preserve">El contratista deberá cumplir con la legislación en Seguridad y Salud en el Trabajo, entre otras la Ley 1562 de 2012 y el Decreto único reglamentario 1072 de 2015 de conformidad con las actividades a desarrollar según el objeto del contrato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C1">
            <w:pPr>
              <w:jc w:val="center"/>
              <w:rPr>
                <w:rFonts w:ascii="Arial" w:cs="Arial" w:eastAsia="Arial" w:hAnsi="Arial"/>
                <w:color w:val="000000"/>
                <w:sz w:val="22"/>
                <w:szCs w:val="22"/>
              </w:rPr>
            </w:pPr>
            <w:r w:rsidDel="00000000" w:rsidR="00000000" w:rsidRPr="00000000">
              <w:rPr>
                <w:rFonts w:ascii="Calibri" w:cs="Calibri" w:eastAsia="Calibri" w:hAnsi="Calibri"/>
                <w:sz w:val="22"/>
                <w:szCs w:val="22"/>
                <w:rtl w:val="0"/>
              </w:rPr>
              <w:t xml:space="preserve">Contractual</w:t>
            </w:r>
            <w:r w:rsidDel="00000000" w:rsidR="00000000" w:rsidRPr="00000000">
              <w:rPr>
                <w:rtl w:val="0"/>
              </w:rPr>
            </w:r>
          </w:p>
        </w:tc>
      </w:tr>
      <w:tr>
        <w:trPr>
          <w:cantSplit w:val="0"/>
          <w:trHeight w:val="64" w:hRule="atLeast"/>
          <w:tblHeader w:val="0"/>
        </w:trPr>
        <w:tc>
          <w:tcPr>
            <w:tcBorders>
              <w:top w:color="000000" w:space="0" w:sz="4" w:val="single"/>
              <w:left w:color="000000" w:space="0" w:sz="4" w:val="single"/>
              <w:bottom w:color="000000" w:space="0" w:sz="4" w:val="single"/>
              <w:right w:color="000000" w:space="0" w:sz="0" w:val="nil"/>
            </w:tcBorders>
            <w:shd w:fill="auto" w:val="clear"/>
            <w:vAlign w:val="center"/>
          </w:tcPr>
          <w:p w:rsidR="00000000" w:rsidDel="00000000" w:rsidP="00000000" w:rsidRDefault="00000000" w:rsidRPr="00000000" w14:paraId="000002C2">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Planilla vigente de pago de Seguridad Social vigente.</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C3">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Contractual</w:t>
            </w:r>
          </w:p>
        </w:tc>
      </w:tr>
    </w:tbl>
    <w:p w:rsidR="00000000" w:rsidDel="00000000" w:rsidP="00000000" w:rsidRDefault="00000000" w:rsidRPr="00000000" w14:paraId="000002C4">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C5">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Las demás que se estimen de acuerdo con la naturaleza de la contratación</w:t>
      </w:r>
    </w:p>
    <w:p w:rsidR="00000000" w:rsidDel="00000000" w:rsidP="00000000" w:rsidRDefault="00000000" w:rsidRPr="00000000" w14:paraId="000002C6">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ALCANCE / OBLIGACIONES DEL CONTRATISTA</w:t>
      </w:r>
    </w:p>
    <w:p w:rsidR="00000000" w:rsidDel="00000000" w:rsidP="00000000" w:rsidRDefault="00000000" w:rsidRPr="00000000" w14:paraId="000002C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993"/>
        </w:tabs>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8">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Obligaciones Generales:</w:t>
      </w:r>
    </w:p>
    <w:p w:rsidR="00000000" w:rsidDel="00000000" w:rsidP="00000000" w:rsidRDefault="00000000" w:rsidRPr="00000000" w14:paraId="000002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A">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Ejecutar el objeto del contrato bajo las condiciones de calidad, oportunidad y obligaciones definidas en el proceso de contratación. </w:t>
      </w:r>
    </w:p>
    <w:p w:rsidR="00000000" w:rsidDel="00000000" w:rsidP="00000000" w:rsidRDefault="00000000" w:rsidRPr="00000000" w14:paraId="000002CB">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Cumplir con las especificaciones técnicas del objeto presentadas en la oferta. </w:t>
      </w:r>
    </w:p>
    <w:p w:rsidR="00000000" w:rsidDel="00000000" w:rsidP="00000000" w:rsidRDefault="00000000" w:rsidRPr="00000000" w14:paraId="000002CC">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Entregar, a partir de los (3) días hábiles siguientes a la suscrición del negocio jurídico, la(s) garantía(s) exigida en los estudios previos en los términos establecidos. </w:t>
      </w:r>
    </w:p>
    <w:p w:rsidR="00000000" w:rsidDel="00000000" w:rsidP="00000000" w:rsidRDefault="00000000" w:rsidRPr="00000000" w14:paraId="000002CD">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Mantener, durante toda la vigencia del contrato, los precios incluidos en su oferta. </w:t>
      </w:r>
    </w:p>
    <w:p w:rsidR="00000000" w:rsidDel="00000000" w:rsidP="00000000" w:rsidRDefault="00000000" w:rsidRPr="00000000" w14:paraId="000002CE">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Obrar con lealtad y buena fe en las distintas etapas contractuales, evitando dilaciones. </w:t>
      </w:r>
    </w:p>
    <w:p w:rsidR="00000000" w:rsidDel="00000000" w:rsidP="00000000" w:rsidRDefault="00000000" w:rsidRPr="00000000" w14:paraId="000002CF">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Cuando se encuentre obligado, EL CONTRATISTA deberá presentar la facturación electrónica, previamente validada por la DIAN, como requisito para el pago de los bienes y/o servicios contratados, conforme con las disposiciones legales vigentes. Las facturas o cuentas de cobro correspondientes deberán ser presentadas según la periodicidad establecida. </w:t>
      </w:r>
    </w:p>
    <w:p w:rsidR="00000000" w:rsidDel="00000000" w:rsidP="00000000" w:rsidRDefault="00000000" w:rsidRPr="00000000" w14:paraId="000002D0">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Responder en los plazos establezca la entidad, los requerimientos de aclaración o de información que le sean formulados. </w:t>
      </w:r>
    </w:p>
    <w:p w:rsidR="00000000" w:rsidDel="00000000" w:rsidP="00000000" w:rsidRDefault="00000000" w:rsidRPr="00000000" w14:paraId="000002D1">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Cumplir cabalmente con sus obligaciones frente al Sistema de Seguridad Social Integral y parafiscales (Cajas de Compensación Familiar, SENA e ICBF). En el evento de no estar obligada al pago de aportes parafiscales o contratación de aprendices, el contratista aportará certificación suscrita por el Representante legal o la persona natural. </w:t>
      </w:r>
      <w:r w:rsidDel="00000000" w:rsidR="00000000" w:rsidRPr="00000000">
        <w:rPr>
          <w:rFonts w:ascii="Arial" w:cs="Arial" w:eastAsia="Arial" w:hAnsi="Arial"/>
          <w:b w:val="1"/>
          <w:color w:val="000000"/>
          <w:sz w:val="22"/>
          <w:szCs w:val="22"/>
          <w:rtl w:val="0"/>
        </w:rPr>
        <w:t xml:space="preserve">El cumplimiento de esta obligación es requisito indispensable para efectuar cualquier pago.</w:t>
      </w:r>
      <w:r w:rsidDel="00000000" w:rsidR="00000000" w:rsidRPr="00000000">
        <w:rPr>
          <w:rFonts w:ascii="Arial" w:cs="Arial" w:eastAsia="Arial" w:hAnsi="Arial"/>
          <w:color w:val="000000"/>
          <w:sz w:val="22"/>
          <w:szCs w:val="22"/>
          <w:rtl w:val="0"/>
        </w:rPr>
        <w:t xml:space="preserve"> </w:t>
      </w:r>
    </w:p>
    <w:p w:rsidR="00000000" w:rsidDel="00000000" w:rsidP="00000000" w:rsidRDefault="00000000" w:rsidRPr="00000000" w14:paraId="000002D2">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Controlar la ejecución del contrato, a fin de evitar la sobre ejecución del mismo. </w:t>
      </w:r>
    </w:p>
    <w:p w:rsidR="00000000" w:rsidDel="00000000" w:rsidP="00000000" w:rsidRDefault="00000000" w:rsidRPr="00000000" w14:paraId="000002D3">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Guardar la confidencialidad de toda la información que le sea entregada y que se encuentre bajo su custodia o que por cualquier otra circunstancia deba conocer o manipular. El desconocimiento de esta obligación acarreará consecuencias de índole civil, penal y/o disciplinariamente por los perjuicios de su divulgación y/o utilización indebida que por sí o por un tercero se cause a la entidad. </w:t>
      </w:r>
    </w:p>
    <w:p w:rsidR="00000000" w:rsidDel="00000000" w:rsidP="00000000" w:rsidRDefault="00000000" w:rsidRPr="00000000" w14:paraId="000002D4">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Informar, por escrito y dentro de los 3 días hábiles siguientes a su materialización, cualquier eventualidad de fuerza mayor o caso fortuito que afecte la normal y correcta ejecución del contrato. </w:t>
      </w:r>
    </w:p>
    <w:p w:rsidR="00000000" w:rsidDel="00000000" w:rsidP="00000000" w:rsidRDefault="00000000" w:rsidRPr="00000000" w14:paraId="000002D5">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Dar a conocer al SENA cualquier reclamación, petición, orden o similar de terceros que indirecta o directamente pueda tener algún efecto sobre la ejecución del contrato o sobre sus obligaciones. </w:t>
      </w:r>
    </w:p>
    <w:p w:rsidR="00000000" w:rsidDel="00000000" w:rsidP="00000000" w:rsidRDefault="00000000" w:rsidRPr="00000000" w14:paraId="000002D6">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 acceder a peticiones o amenazas de quienes actuando por fuera de la ley pretendan obligarlo a hacer u omitir algún acto o hecho. El contratista deberá informar de tal evento al SENA, dentro de los 3 días hábiles siguientes a su ocurrencia, y a las autoridades competentes para que se adopten las medidas necesarias. </w:t>
      </w:r>
    </w:p>
    <w:p w:rsidR="00000000" w:rsidDel="00000000" w:rsidP="00000000" w:rsidRDefault="00000000" w:rsidRPr="00000000" w14:paraId="000002D7">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Restituir al SENA, al finalizar el contrato, los elementos que haya colocado a su disposición para el desarrollo del objeto contractual, en caso de que se hayan suministrado. </w:t>
      </w:r>
    </w:p>
    <w:p w:rsidR="00000000" w:rsidDel="00000000" w:rsidP="00000000" w:rsidRDefault="00000000" w:rsidRPr="00000000" w14:paraId="000002D8">
      <w:pPr>
        <w:numPr>
          <w:ilvl w:val="0"/>
          <w:numId w:val="27"/>
        </w:numPr>
        <w:spacing w:after="0" w:line="276"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Las demás que se estimen de acuerdo con la naturaleza de la contratación. </w:t>
      </w:r>
    </w:p>
    <w:p w:rsidR="00000000" w:rsidDel="00000000" w:rsidP="00000000" w:rsidRDefault="00000000" w:rsidRPr="00000000" w14:paraId="000002D9">
      <w:pPr>
        <w:ind w:left="1353"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DA">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Obligaciones Especificas:</w:t>
      </w:r>
    </w:p>
    <w:p w:rsidR="00000000" w:rsidDel="00000000" w:rsidP="00000000" w:rsidRDefault="00000000" w:rsidRPr="00000000" w14:paraId="000002DB">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DC">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deberá contar con los equipos, elementos y mano de obra idónea para prestar debidamente el servicio. </w:t>
      </w:r>
    </w:p>
    <w:p w:rsidR="00000000" w:rsidDel="00000000" w:rsidP="00000000" w:rsidRDefault="00000000" w:rsidRPr="00000000" w14:paraId="000002DD">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Presentar un diagnóstico inicial de condiciones en las que se encuentra el área a fumigar, por cada una de las sedes. </w:t>
      </w:r>
    </w:p>
    <w:p w:rsidR="00000000" w:rsidDel="00000000" w:rsidP="00000000" w:rsidRDefault="00000000" w:rsidRPr="00000000" w14:paraId="000002DE">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deberá allegar las hojas de datos de seguridad con 16 secciones según NTC 4435 del 15/12/2010 de los plaguicidas, al supervisor del contrato de forma física y/o digital. Cabe resaltar que en ningún caso podrán ser de categoría toxicológica I y II a excepción de rodenticidas, fumigantes de granos e inmunizantes de madera. </w:t>
      </w:r>
    </w:p>
    <w:p w:rsidR="00000000" w:rsidDel="00000000" w:rsidP="00000000" w:rsidRDefault="00000000" w:rsidRPr="00000000" w14:paraId="000002DF">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Llegado el caso de hacer cambios del personal relacionado en la presentación de la oferta, el Contratista deberá allegar los soportes de curso de capacitación y entrenamiento denominado “uso y manejo seguro sanitario de plaguicidas en salud pública” del personal que labora con plaguicidas, con una intensidad mínima de 60 horas acumulables al año. Estos documentos deberán ser presentados en la inducción de Seguridad y salud en el trabajo y ambiental antes de iniciar las labores. </w:t>
      </w:r>
    </w:p>
    <w:p w:rsidR="00000000" w:rsidDel="00000000" w:rsidP="00000000" w:rsidRDefault="00000000" w:rsidRPr="00000000" w14:paraId="000002E0">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deberá entregar la certificación de idoneidad a la entidad que haya impartido el curso a los asistentes técnicos de las Empresas Aplicadores de Plaguicidas, conforme al artículo 109 del Decreto 1843 de 1991. </w:t>
      </w:r>
    </w:p>
    <w:p w:rsidR="00000000" w:rsidDel="00000000" w:rsidP="00000000" w:rsidRDefault="00000000" w:rsidRPr="00000000" w14:paraId="000002E1">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deberá tomar todas las medidas de seguridad en el manejo de plaguicidas; para ello el personal debe contar con su respectiva dotación y contar con el carné vigente de manipulador de plaguicidas en salud pública expedido por la secretaria de salud.</w:t>
      </w:r>
    </w:p>
    <w:p w:rsidR="00000000" w:rsidDel="00000000" w:rsidP="00000000" w:rsidRDefault="00000000" w:rsidRPr="00000000" w14:paraId="000002E2">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deberá realizar el servicio de desinfección en las áreas afectadas, aplicando productos ambientalmente seguros, sólo podrán utilizar plaguicidas registrados y permitidos por el Ministerio de Salud, los cuales, a excepción de los rodenticidas, fumigantes de granos e inmunizantes de madera en ningún otro caso podrán ser de Categoría Toxicológica I y II. </w:t>
      </w:r>
    </w:p>
    <w:p w:rsidR="00000000" w:rsidDel="00000000" w:rsidP="00000000" w:rsidRDefault="00000000" w:rsidRPr="00000000" w14:paraId="000002E3">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deberá presentar un informe por cada una de las fumigaciones efectuadas, indicando la labor realizada, los productos aplicados, el grado de disminución de la plaga en caso de que esté presente, las acciones preventivas o correctivas para ejercer control ante las plagas y observaciones. Este reporte deberá ser presentado al supervisor del contrato.</w:t>
      </w:r>
    </w:p>
    <w:p w:rsidR="00000000" w:rsidDel="00000000" w:rsidP="00000000" w:rsidRDefault="00000000" w:rsidRPr="00000000" w14:paraId="000002E4">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deberá responsabilizarse de los residuos de envases de plaguicidas y afines que genere, dándoles una adecuada disposición final, por lo cual deberá entregar al centro, de forma física o digital, el certificado de disposición final de dichos residuos, para esto, tendrá un máximo 8 meses contados a partir de su generación, acorde con los plazos establecidos en el Decreto 1076 de 2015. </w:t>
      </w:r>
    </w:p>
    <w:p w:rsidR="00000000" w:rsidDel="00000000" w:rsidP="00000000" w:rsidRDefault="00000000" w:rsidRPr="00000000" w14:paraId="000002E5">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Informar a los funcionarios que se encuentren en las áreas, las precauciones que se deben tomar después de haber realizado la fumigación, las cuales deben ser atendidas rigurosamente. </w:t>
      </w:r>
    </w:p>
    <w:p w:rsidR="00000000" w:rsidDel="00000000" w:rsidP="00000000" w:rsidRDefault="00000000" w:rsidRPr="00000000" w14:paraId="000002E6">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realizará un cronograma de trabajo para la fumigación, distribuyendo los tiempos y las actividades, teniendo en cuenta la programación establecida por el Supervisor del contrato. </w:t>
      </w:r>
    </w:p>
    <w:p w:rsidR="00000000" w:rsidDel="00000000" w:rsidP="00000000" w:rsidRDefault="00000000" w:rsidRPr="00000000" w14:paraId="000002E7">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deberá disponer de los equipos necesarios para la protección de los operarios que desarrollen el servicio, quienes deberán cumplir con los requisitos legales en cuanto a seguridad social, seguridad y salud en el trabajo. </w:t>
      </w:r>
    </w:p>
    <w:p w:rsidR="00000000" w:rsidDel="00000000" w:rsidP="00000000" w:rsidRDefault="00000000" w:rsidRPr="00000000" w14:paraId="000002E8">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deberá contar con los antídotos necesarios ante cualquier eventualidad propia de la labor adelantada por los operarios.</w:t>
      </w:r>
    </w:p>
    <w:p w:rsidR="00000000" w:rsidDel="00000000" w:rsidP="00000000" w:rsidRDefault="00000000" w:rsidRPr="00000000" w14:paraId="000002E9">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servicio deberá contar con la señalización necesaria que advierta de los peligros al momento de las fumigaciones. </w:t>
      </w:r>
    </w:p>
    <w:p w:rsidR="00000000" w:rsidDel="00000000" w:rsidP="00000000" w:rsidRDefault="00000000" w:rsidRPr="00000000" w14:paraId="000002EA">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deberá reemplazar bajo su costo las plantas del jardín del SENA que por la actividad de fumigación realizada resulten dañadas. </w:t>
      </w:r>
    </w:p>
    <w:p w:rsidR="00000000" w:rsidDel="00000000" w:rsidP="00000000" w:rsidRDefault="00000000" w:rsidRPr="00000000" w14:paraId="000002EB">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es responsable de cualquier daño que ocasione al SENA, a terceros con ocasión de la ejecución y desarrollo del objeto contractual. </w:t>
      </w:r>
    </w:p>
    <w:p w:rsidR="00000000" w:rsidDel="00000000" w:rsidP="00000000" w:rsidRDefault="00000000" w:rsidRPr="00000000" w14:paraId="000002EC">
      <w:pPr>
        <w:numPr>
          <w:ilvl w:val="0"/>
          <w:numId w:val="28"/>
        </w:numP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Ostentar el plano de distribución de cada una de las cajas de cebos que se instalen.</w:t>
      </w:r>
    </w:p>
    <w:p w:rsidR="00000000" w:rsidDel="00000000" w:rsidP="00000000" w:rsidRDefault="00000000" w:rsidRPr="00000000" w14:paraId="000002ED">
      <w:pPr>
        <w:numPr>
          <w:ilvl w:val="0"/>
          <w:numId w:val="31"/>
        </w:numPr>
        <w:ind w:left="720" w:hanging="360"/>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Garantizar visitas mensuales de seguimiento a las cajas de cebos instaladas.</w:t>
      </w:r>
      <w:r w:rsidDel="00000000" w:rsidR="00000000" w:rsidRPr="00000000">
        <w:rPr>
          <w:rtl w:val="0"/>
        </w:rPr>
      </w:r>
    </w:p>
    <w:p w:rsidR="00000000" w:rsidDel="00000000" w:rsidP="00000000" w:rsidRDefault="00000000" w:rsidRPr="00000000" w14:paraId="000002EE">
      <w:pPr>
        <w:numPr>
          <w:ilvl w:val="0"/>
          <w:numId w:val="31"/>
        </w:numPr>
        <w:ind w:left="720" w:hanging="360"/>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El Contratista, antes de iniciar labores deberá asistir a la inducción de seguridad y salud en el trabajo y ambiental que el centro de formación programe. </w:t>
      </w:r>
      <w:r w:rsidDel="00000000" w:rsidR="00000000" w:rsidRPr="00000000">
        <w:rPr>
          <w:rtl w:val="0"/>
        </w:rPr>
      </w:r>
    </w:p>
    <w:p w:rsidR="00000000" w:rsidDel="00000000" w:rsidP="00000000" w:rsidRDefault="00000000" w:rsidRPr="00000000" w14:paraId="000002EF">
      <w:pPr>
        <w:numPr>
          <w:ilvl w:val="0"/>
          <w:numId w:val="31"/>
        </w:numPr>
        <w:ind w:left="720" w:hanging="360"/>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Dar cumplimiento a las obligaciones del sistema de seguridad social (salud, pensión y riesgos laborales), así como al SG-SST y demás normas aplicables, y presentar los documentos respectivos que acrediten todos los anteriores.</w:t>
      </w:r>
      <w:r w:rsidDel="00000000" w:rsidR="00000000" w:rsidRPr="00000000">
        <w:rPr>
          <w:rtl w:val="0"/>
        </w:rPr>
      </w:r>
    </w:p>
    <w:p w:rsidR="00000000" w:rsidDel="00000000" w:rsidP="00000000" w:rsidRDefault="00000000" w:rsidRPr="00000000" w14:paraId="000002F0">
      <w:pPr>
        <w:ind w:left="720" w:firstLine="0"/>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2F1">
      <w:pPr>
        <w:ind w:left="720" w:firstLine="0"/>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2F2">
      <w:pPr>
        <w:widowControl w:val="0"/>
        <w:tabs>
          <w:tab w:val="left" w:leader="none" w:pos="284"/>
          <w:tab w:val="left" w:leader="none" w:pos="709"/>
        </w:tabs>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Obligaciones del Servicio Nacional de Aprendizaje – SENA</w:t>
      </w:r>
    </w:p>
    <w:p w:rsidR="00000000" w:rsidDel="00000000" w:rsidP="00000000" w:rsidRDefault="00000000" w:rsidRPr="00000000" w14:paraId="000002F3">
      <w:pPr>
        <w:tabs>
          <w:tab w:val="left" w:leader="none" w:pos="284"/>
          <w:tab w:val="left" w:leader="none" w:pos="426"/>
        </w:tabs>
        <w:ind w:left="284" w:hanging="284"/>
        <w:jc w:val="both"/>
        <w:rPr>
          <w:rFonts w:ascii="Arial" w:cs="Arial" w:eastAsia="Arial" w:hAnsi="Arial"/>
          <w:b w:val="1"/>
        </w:rPr>
      </w:pPr>
      <w:r w:rsidDel="00000000" w:rsidR="00000000" w:rsidRPr="00000000">
        <w:rPr>
          <w:rtl w:val="0"/>
        </w:rPr>
      </w:r>
    </w:p>
    <w:p w:rsidR="00000000" w:rsidDel="00000000" w:rsidP="00000000" w:rsidRDefault="00000000" w:rsidRPr="00000000" w14:paraId="000002F4">
      <w:pPr>
        <w:numPr>
          <w:ilvl w:val="0"/>
          <w:numId w:val="29"/>
        </w:numPr>
        <w:tabs>
          <w:tab w:val="left" w:leader="none" w:pos="720"/>
        </w:tabs>
        <w:ind w:left="786" w:hanging="360"/>
        <w:jc w:val="both"/>
        <w:rPr>
          <w:rFonts w:ascii="Arial" w:cs="Arial" w:eastAsia="Arial" w:hAnsi="Arial"/>
        </w:rPr>
      </w:pPr>
      <w:r w:rsidDel="00000000" w:rsidR="00000000" w:rsidRPr="00000000">
        <w:rPr>
          <w:rFonts w:ascii="Arial" w:cs="Arial" w:eastAsia="Arial" w:hAnsi="Arial"/>
          <w:sz w:val="22"/>
          <w:szCs w:val="22"/>
          <w:rtl w:val="0"/>
        </w:rPr>
        <w:t xml:space="preserve">Exigir al contratista la ejecución idónea y oportuna de las obligaciones del presente contrato. </w:t>
      </w:r>
    </w:p>
    <w:p w:rsidR="00000000" w:rsidDel="00000000" w:rsidP="00000000" w:rsidRDefault="00000000" w:rsidRPr="00000000" w14:paraId="000002F5">
      <w:pPr>
        <w:numPr>
          <w:ilvl w:val="0"/>
          <w:numId w:val="29"/>
        </w:numPr>
        <w:tabs>
          <w:tab w:val="left" w:leader="none" w:pos="720"/>
        </w:tabs>
        <w:ind w:left="786" w:hanging="360"/>
        <w:jc w:val="both"/>
        <w:rPr>
          <w:rFonts w:ascii="Arial" w:cs="Arial" w:eastAsia="Arial" w:hAnsi="Arial"/>
        </w:rPr>
      </w:pPr>
      <w:r w:rsidDel="00000000" w:rsidR="00000000" w:rsidRPr="00000000">
        <w:rPr>
          <w:rFonts w:ascii="Arial" w:cs="Arial" w:eastAsia="Arial" w:hAnsi="Arial"/>
          <w:sz w:val="22"/>
          <w:szCs w:val="22"/>
          <w:rtl w:val="0"/>
        </w:rPr>
        <w:t xml:space="preserve">Rechazar los bienes y/o servicios cuando estos no cumplan con los requerimientos técnicos exigidos. </w:t>
      </w:r>
    </w:p>
    <w:p w:rsidR="00000000" w:rsidDel="00000000" w:rsidP="00000000" w:rsidRDefault="00000000" w:rsidRPr="00000000" w14:paraId="000002F6">
      <w:pPr>
        <w:numPr>
          <w:ilvl w:val="0"/>
          <w:numId w:val="29"/>
        </w:numPr>
        <w:tabs>
          <w:tab w:val="left" w:leader="none" w:pos="720"/>
        </w:tabs>
        <w:ind w:left="786" w:hanging="360"/>
        <w:jc w:val="both"/>
        <w:rPr>
          <w:rFonts w:ascii="Arial" w:cs="Arial" w:eastAsia="Arial" w:hAnsi="Arial"/>
        </w:rPr>
      </w:pPr>
      <w:r w:rsidDel="00000000" w:rsidR="00000000" w:rsidRPr="00000000">
        <w:rPr>
          <w:rFonts w:ascii="Arial" w:cs="Arial" w:eastAsia="Arial" w:hAnsi="Arial"/>
          <w:sz w:val="22"/>
          <w:szCs w:val="22"/>
          <w:rtl w:val="0"/>
        </w:rPr>
        <w:t xml:space="preserve">Pagar la contraprestación a la que tiene derecho el contratista, con ocasión de la correcta ejecución del negocio jurídico suscrito. </w:t>
      </w:r>
    </w:p>
    <w:p w:rsidR="00000000" w:rsidDel="00000000" w:rsidP="00000000" w:rsidRDefault="00000000" w:rsidRPr="00000000" w14:paraId="000002F7">
      <w:pPr>
        <w:numPr>
          <w:ilvl w:val="0"/>
          <w:numId w:val="29"/>
        </w:numPr>
        <w:tabs>
          <w:tab w:val="left" w:leader="none" w:pos="720"/>
        </w:tabs>
        <w:ind w:left="786" w:hanging="360"/>
        <w:jc w:val="both"/>
        <w:rPr>
          <w:rFonts w:ascii="Arial" w:cs="Arial" w:eastAsia="Arial" w:hAnsi="Arial"/>
        </w:rPr>
      </w:pPr>
      <w:r w:rsidDel="00000000" w:rsidR="00000000" w:rsidRPr="00000000">
        <w:rPr>
          <w:rFonts w:ascii="Arial" w:cs="Arial" w:eastAsia="Arial" w:hAnsi="Arial"/>
          <w:sz w:val="22"/>
          <w:szCs w:val="22"/>
          <w:rtl w:val="0"/>
        </w:rPr>
        <w:t xml:space="preserve">Suministrar la información que previamente requiera el contratista en relación con el objeto del presente contrato. </w:t>
      </w:r>
    </w:p>
    <w:p w:rsidR="00000000" w:rsidDel="00000000" w:rsidP="00000000" w:rsidRDefault="00000000" w:rsidRPr="00000000" w14:paraId="000002F8">
      <w:pPr>
        <w:numPr>
          <w:ilvl w:val="0"/>
          <w:numId w:val="29"/>
        </w:numPr>
        <w:tabs>
          <w:tab w:val="left" w:leader="none" w:pos="720"/>
        </w:tabs>
        <w:ind w:left="786" w:hanging="360"/>
        <w:jc w:val="both"/>
        <w:rPr>
          <w:rFonts w:ascii="Arial" w:cs="Arial" w:eastAsia="Arial" w:hAnsi="Arial"/>
        </w:rPr>
      </w:pPr>
      <w:r w:rsidDel="00000000" w:rsidR="00000000" w:rsidRPr="00000000">
        <w:rPr>
          <w:rFonts w:ascii="Arial" w:cs="Arial" w:eastAsia="Arial" w:hAnsi="Arial"/>
          <w:sz w:val="22"/>
          <w:szCs w:val="22"/>
          <w:rtl w:val="0"/>
        </w:rPr>
        <w:t xml:space="preserve">Suscribir conjuntamente con el contratista y/o la Interventoría las actas y los demás documentos necesarios para la ejecución y liquidación de este contrato. </w:t>
      </w:r>
    </w:p>
    <w:p w:rsidR="00000000" w:rsidDel="00000000" w:rsidP="00000000" w:rsidRDefault="00000000" w:rsidRPr="00000000" w14:paraId="000002F9">
      <w:pPr>
        <w:numPr>
          <w:ilvl w:val="0"/>
          <w:numId w:val="29"/>
        </w:numPr>
        <w:tabs>
          <w:tab w:val="left" w:leader="none" w:pos="720"/>
        </w:tabs>
        <w:ind w:left="786" w:hanging="360"/>
        <w:jc w:val="both"/>
        <w:rPr>
          <w:rFonts w:ascii="Arial" w:cs="Arial" w:eastAsia="Arial" w:hAnsi="Arial"/>
        </w:rPr>
      </w:pPr>
      <w:r w:rsidDel="00000000" w:rsidR="00000000" w:rsidRPr="00000000">
        <w:rPr>
          <w:rFonts w:ascii="Arial" w:cs="Arial" w:eastAsia="Arial" w:hAnsi="Arial"/>
          <w:sz w:val="22"/>
          <w:szCs w:val="22"/>
          <w:rtl w:val="0"/>
        </w:rPr>
        <w:t xml:space="preserve">Adelantar las gestiones necesarias para el reconocimiento y cobro de las sanciones pecuniarias y garantías a que hubiere lugar. Para tal efecto, el Supervisor dará aviso oportuno al ordenador del gasto o a su delegado, sobre la ocurrencia de hecho constitutivo incumplimiento o mora de las prestaciones contratadas. </w:t>
      </w:r>
    </w:p>
    <w:p w:rsidR="00000000" w:rsidDel="00000000" w:rsidP="00000000" w:rsidRDefault="00000000" w:rsidRPr="00000000" w14:paraId="000002FA">
      <w:pPr>
        <w:numPr>
          <w:ilvl w:val="0"/>
          <w:numId w:val="29"/>
        </w:numPr>
        <w:tabs>
          <w:tab w:val="left" w:leader="none" w:pos="720"/>
        </w:tabs>
        <w:ind w:left="786" w:hanging="360"/>
        <w:jc w:val="both"/>
        <w:rPr>
          <w:rFonts w:ascii="Arial" w:cs="Arial" w:eastAsia="Arial" w:hAnsi="Arial"/>
        </w:rPr>
      </w:pPr>
      <w:r w:rsidDel="00000000" w:rsidR="00000000" w:rsidRPr="00000000">
        <w:rPr>
          <w:rFonts w:ascii="Arial" w:cs="Arial" w:eastAsia="Arial" w:hAnsi="Arial"/>
          <w:sz w:val="22"/>
          <w:szCs w:val="22"/>
          <w:rtl w:val="0"/>
        </w:rPr>
        <w:t xml:space="preserve">Informar al proveedor la forma como se deben presentar las facturas o documento equivalente. </w:t>
      </w:r>
    </w:p>
    <w:p w:rsidR="00000000" w:rsidDel="00000000" w:rsidP="00000000" w:rsidRDefault="00000000" w:rsidRPr="00000000" w14:paraId="000002FB">
      <w:pPr>
        <w:numPr>
          <w:ilvl w:val="0"/>
          <w:numId w:val="29"/>
        </w:numPr>
        <w:tabs>
          <w:tab w:val="left" w:leader="none" w:pos="720"/>
        </w:tabs>
        <w:ind w:left="786" w:hanging="360"/>
        <w:jc w:val="both"/>
        <w:rPr>
          <w:rFonts w:ascii="Arial" w:cs="Arial" w:eastAsia="Arial" w:hAnsi="Arial"/>
        </w:rPr>
      </w:pPr>
      <w:r w:rsidDel="00000000" w:rsidR="00000000" w:rsidRPr="00000000">
        <w:rPr>
          <w:rFonts w:ascii="Arial" w:cs="Arial" w:eastAsia="Arial" w:hAnsi="Arial"/>
          <w:sz w:val="22"/>
          <w:szCs w:val="22"/>
          <w:rtl w:val="0"/>
        </w:rPr>
        <w:t xml:space="preserve">Las demás que se estimen de acuerdo con la naturaleza de la contratación</w:t>
      </w:r>
      <w:r w:rsidDel="00000000" w:rsidR="00000000" w:rsidRPr="00000000">
        <w:rPr>
          <w:rFonts w:ascii="Arial" w:cs="Arial" w:eastAsia="Arial" w:hAnsi="Arial"/>
          <w:rtl w:val="0"/>
        </w:rPr>
        <w:t xml:space="preserve">. </w:t>
      </w:r>
    </w:p>
    <w:p w:rsidR="00000000" w:rsidDel="00000000" w:rsidP="00000000" w:rsidRDefault="00000000" w:rsidRPr="00000000" w14:paraId="000002FC">
      <w:pPr>
        <w:tabs>
          <w:tab w:val="left" w:leader="none" w:pos="720"/>
        </w:tabs>
        <w:jc w:val="both"/>
        <w:rPr>
          <w:rFonts w:ascii="Arial" w:cs="Arial" w:eastAsia="Arial" w:hAnsi="Arial"/>
        </w:rPr>
      </w:pPr>
      <w:r w:rsidDel="00000000" w:rsidR="00000000" w:rsidRPr="00000000">
        <w:rPr>
          <w:rtl w:val="0"/>
        </w:rPr>
      </w:r>
    </w:p>
    <w:p w:rsidR="00000000" w:rsidDel="00000000" w:rsidP="00000000" w:rsidRDefault="00000000" w:rsidRPr="00000000" w14:paraId="000002FD">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PERSONAL MÍNIMO REQUERIDO (FORMACIÓN ACADÉMICA, EXPERIENCIA DEDICACIÓN)</w:t>
      </w:r>
    </w:p>
    <w:p w:rsidR="00000000" w:rsidDel="00000000" w:rsidP="00000000" w:rsidRDefault="00000000" w:rsidRPr="00000000" w14:paraId="000002FE">
      <w:pPr>
        <w:spacing w:before="18" w:lineRule="auto"/>
        <w:jc w:val="both"/>
        <w:rPr>
          <w:rFonts w:ascii="Arial" w:cs="Arial" w:eastAsia="Arial" w:hAnsi="Arial"/>
        </w:rPr>
      </w:pPr>
      <w:r w:rsidDel="00000000" w:rsidR="00000000" w:rsidRPr="00000000">
        <w:rPr>
          <w:rFonts w:ascii="Arial" w:cs="Arial" w:eastAsia="Arial" w:hAnsi="Arial"/>
          <w:rtl w:val="0"/>
        </w:rPr>
        <w:t xml:space="preserve">Durante la ejecución de las actividades de fumigación, se contará con el personal capacitado de acuerdo con las actividades que se vallan a realizar, las cuales deberán ser autorizadas por el supervisor del contrato, que verificara los perfiles, certificaciones de formación y experiencia mínima requerida. </w:t>
      </w:r>
    </w:p>
    <w:p w:rsidR="00000000" w:rsidDel="00000000" w:rsidP="00000000" w:rsidRDefault="00000000" w:rsidRPr="00000000" w14:paraId="000002FF">
      <w:pPr>
        <w:spacing w:before="18"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300">
      <w:pPr>
        <w:spacing w:before="18" w:lineRule="auto"/>
        <w:jc w:val="both"/>
        <w:rPr>
          <w:rFonts w:ascii="Arial" w:cs="Arial" w:eastAsia="Arial" w:hAnsi="Arial"/>
        </w:rPr>
      </w:pPr>
      <w:r w:rsidDel="00000000" w:rsidR="00000000" w:rsidRPr="00000000">
        <w:rPr>
          <w:rFonts w:ascii="Arial" w:cs="Arial" w:eastAsia="Arial" w:hAnsi="Arial"/>
          <w:rtl w:val="0"/>
        </w:rPr>
        <w:t xml:space="preserve">Para el desarrollo del mantenimiento se requiere contar con: </w:t>
      </w:r>
    </w:p>
    <w:p w:rsidR="00000000" w:rsidDel="00000000" w:rsidP="00000000" w:rsidRDefault="00000000" w:rsidRPr="00000000" w14:paraId="00000301">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2">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UN (1) OPERARIO DE APLICACIÓN</w:t>
      </w:r>
    </w:p>
    <w:p w:rsidR="00000000" w:rsidDel="00000000" w:rsidP="00000000" w:rsidRDefault="00000000" w:rsidRPr="00000000" w14:paraId="00000303">
      <w:pPr>
        <w:ind w:left="480" w:firstLine="0"/>
        <w:jc w:val="both"/>
        <w:rPr>
          <w:rFonts w:ascii="Arial" w:cs="Arial" w:eastAsia="Arial" w:hAnsi="Arial"/>
          <w:sz w:val="22"/>
          <w:szCs w:val="22"/>
          <w:highlight w:val="yellow"/>
        </w:rPr>
      </w:pPr>
      <w:r w:rsidDel="00000000" w:rsidR="00000000" w:rsidRPr="00000000">
        <w:rPr>
          <w:rtl w:val="0"/>
        </w:rPr>
      </w:r>
    </w:p>
    <w:p w:rsidR="00000000" w:rsidDel="00000000" w:rsidP="00000000" w:rsidRDefault="00000000" w:rsidRPr="00000000" w14:paraId="00000304">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Formación académica: </w:t>
      </w:r>
    </w:p>
    <w:p w:rsidR="00000000" w:rsidDel="00000000" w:rsidP="00000000" w:rsidRDefault="00000000" w:rsidRPr="00000000" w14:paraId="00000305">
      <w:pPr>
        <w:jc w:val="both"/>
        <w:rPr>
          <w:rFonts w:ascii="Arial" w:cs="Arial" w:eastAsia="Arial" w:hAnsi="Arial"/>
          <w:sz w:val="22"/>
          <w:szCs w:val="22"/>
          <w:highlight w:val="yellow"/>
        </w:rPr>
      </w:pPr>
      <w:r w:rsidDel="00000000" w:rsidR="00000000" w:rsidRPr="00000000">
        <w:rPr>
          <w:rFonts w:ascii="Arial" w:cs="Arial" w:eastAsia="Arial" w:hAnsi="Arial"/>
          <w:sz w:val="22"/>
          <w:szCs w:val="22"/>
          <w:rtl w:val="0"/>
        </w:rPr>
        <w:t xml:space="preserve">Certificar Competencia Laboral en Aplicar plaguicidas de acuerdo con normativa ambiental y de seguridad Nivel Avanzado vigente y </w:t>
      </w:r>
      <w:r w:rsidDel="00000000" w:rsidR="00000000" w:rsidRPr="00000000">
        <w:rPr>
          <w:rFonts w:ascii="Arial" w:cs="Arial" w:eastAsia="Arial" w:hAnsi="Arial"/>
          <w:color w:val="222222"/>
          <w:sz w:val="22"/>
          <w:szCs w:val="22"/>
          <w:rtl w:val="0"/>
        </w:rPr>
        <w:t xml:space="preserve">manejo racional de plaguicidas vigente.  </w:t>
      </w:r>
      <w:r w:rsidDel="00000000" w:rsidR="00000000" w:rsidRPr="00000000">
        <w:rPr>
          <w:rtl w:val="0"/>
        </w:rPr>
      </w:r>
    </w:p>
    <w:p w:rsidR="00000000" w:rsidDel="00000000" w:rsidP="00000000" w:rsidRDefault="00000000" w:rsidRPr="00000000" w14:paraId="00000306">
      <w:pPr>
        <w:ind w:left="480" w:firstLine="0"/>
        <w:jc w:val="both"/>
        <w:rPr>
          <w:rFonts w:ascii="Arial" w:cs="Arial" w:eastAsia="Arial" w:hAnsi="Arial"/>
          <w:sz w:val="22"/>
          <w:szCs w:val="22"/>
          <w:highlight w:val="yellow"/>
        </w:rPr>
      </w:pPr>
      <w:r w:rsidDel="00000000" w:rsidR="00000000" w:rsidRPr="00000000">
        <w:rPr>
          <w:rtl w:val="0"/>
        </w:rPr>
      </w:r>
    </w:p>
    <w:p w:rsidR="00000000" w:rsidDel="00000000" w:rsidP="00000000" w:rsidRDefault="00000000" w:rsidRPr="00000000" w14:paraId="00000307">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Experiencia general: Acreditar como minino doce (12) meses de experiencia Certificada relacionada al objeto contractual del proceso.  </w:t>
      </w:r>
    </w:p>
    <w:p w:rsidR="00000000" w:rsidDel="00000000" w:rsidP="00000000" w:rsidRDefault="00000000" w:rsidRPr="00000000" w14:paraId="00000308">
      <w:pPr>
        <w:ind w:left="48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9">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UN (1) OPERARIO </w:t>
      </w:r>
    </w:p>
    <w:p w:rsidR="00000000" w:rsidDel="00000000" w:rsidP="00000000" w:rsidRDefault="00000000" w:rsidRPr="00000000" w14:paraId="0000030A">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B">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Formación académica: </w:t>
      </w:r>
    </w:p>
    <w:p w:rsidR="00000000" w:rsidDel="00000000" w:rsidP="00000000" w:rsidRDefault="00000000" w:rsidRPr="00000000" w14:paraId="0000030C">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Certificación de Competencia Laboral en Aplicar plaguicidas de acuerdo con normativa</w:t>
      </w:r>
    </w:p>
    <w:p w:rsidR="00000000" w:rsidDel="00000000" w:rsidP="00000000" w:rsidRDefault="00000000" w:rsidRPr="00000000" w14:paraId="0000030D">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ambiental y de seguridad – NIVELAVANZADO vigente, manejo integrado de plagas en salud pública, manejo de equipos de fumigación y accesorios actualizado y manejo de sustancias peligrosas. </w:t>
      </w:r>
    </w:p>
    <w:p w:rsidR="00000000" w:rsidDel="00000000" w:rsidP="00000000" w:rsidRDefault="00000000" w:rsidRPr="00000000" w14:paraId="0000030E">
      <w:pPr>
        <w:rPr>
          <w:rFonts w:ascii="Arial" w:cs="Arial" w:eastAsia="Arial" w:hAnsi="Arial"/>
        </w:rPr>
      </w:pPr>
      <w:r w:rsidDel="00000000" w:rsidR="00000000" w:rsidRPr="00000000">
        <w:rPr>
          <w:rtl w:val="0"/>
        </w:rPr>
      </w:r>
    </w:p>
    <w:p w:rsidR="00000000" w:rsidDel="00000000" w:rsidP="00000000" w:rsidRDefault="00000000" w:rsidRPr="00000000" w14:paraId="0000030F">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ASPECTO LEGAL</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10">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objeto del presente proceso, conforme a lo establecido en el Código Civil artículos 1518 y 1519, es lícito no contraviene normas de carácter público y privado, el mismo existe en el comercio nacional y se encuentran determinado en su género. El proceso de selección del contratista tiene como fundamento jurídico las normas aplicables establecida en: Ley 80 de 1993.</w:t>
      </w:r>
    </w:p>
    <w:p w:rsidR="00000000" w:rsidDel="00000000" w:rsidP="00000000" w:rsidRDefault="00000000" w:rsidRPr="00000000" w14:paraId="00000311">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2">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 igual forma y atendiendo a la naturaleza del objeto a contratar, se estableció que en el sector tanto público como privado, el tipo de contratar a celebrar es una prestación de servicios, a la luz de lo establecido en la Ley 80 de 1993 y Civil Colombiana.</w:t>
      </w:r>
    </w:p>
    <w:p w:rsidR="00000000" w:rsidDel="00000000" w:rsidP="00000000" w:rsidRDefault="00000000" w:rsidRPr="00000000" w14:paraId="00000313">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4">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contrato de prestación de servicios es un contrato comercial que consiste en que por un lado hay una parte que se obliga a cumplir a favor de otra, en forma independiente, la prestación de unos servicios con excelente calidad, cumpliendo con las especificaciones y condiciones técnicas exigidas y pactadas, es decir, una persona se compromete a proveer unos servicios a otra a cambio de un pago. Fundamento legal:</w:t>
      </w:r>
    </w:p>
    <w:p w:rsidR="00000000" w:rsidDel="00000000" w:rsidP="00000000" w:rsidRDefault="00000000" w:rsidRPr="00000000" w14:paraId="00000315">
      <w:pPr>
        <w:rPr>
          <w:rFonts w:ascii="Arial" w:cs="Arial" w:eastAsia="Arial" w:hAnsi="Arial"/>
        </w:rPr>
      </w:pPr>
      <w:r w:rsidDel="00000000" w:rsidR="00000000" w:rsidRPr="00000000">
        <w:rPr>
          <w:rtl w:val="0"/>
        </w:rPr>
      </w:r>
    </w:p>
    <w:p w:rsidR="00000000" w:rsidDel="00000000" w:rsidP="00000000" w:rsidRDefault="00000000" w:rsidRPr="00000000" w14:paraId="00000316">
      <w:pPr>
        <w:keepNext w:val="0"/>
        <w:keepLines w:val="0"/>
        <w:pageBreakBefore w:val="0"/>
        <w:widowControl w:val="1"/>
        <w:numPr>
          <w:ilvl w:val="1"/>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Ley 80 de 1993</w:t>
      </w:r>
    </w:p>
    <w:p w:rsidR="00000000" w:rsidDel="00000000" w:rsidP="00000000" w:rsidRDefault="00000000" w:rsidRPr="00000000" w14:paraId="00000317">
      <w:pPr>
        <w:keepNext w:val="0"/>
        <w:keepLines w:val="0"/>
        <w:pageBreakBefore w:val="0"/>
        <w:widowControl w:val="1"/>
        <w:numPr>
          <w:ilvl w:val="1"/>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Ley 1150 de 2007</w:t>
      </w:r>
    </w:p>
    <w:p w:rsidR="00000000" w:rsidDel="00000000" w:rsidP="00000000" w:rsidRDefault="00000000" w:rsidRPr="00000000" w14:paraId="00000318">
      <w:pPr>
        <w:keepNext w:val="0"/>
        <w:keepLines w:val="0"/>
        <w:pageBreakBefore w:val="0"/>
        <w:widowControl w:val="1"/>
        <w:numPr>
          <w:ilvl w:val="1"/>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Ley 1474 de 2011</w:t>
      </w:r>
    </w:p>
    <w:p w:rsidR="00000000" w:rsidDel="00000000" w:rsidP="00000000" w:rsidRDefault="00000000" w:rsidRPr="00000000" w14:paraId="00000319">
      <w:pPr>
        <w:keepNext w:val="0"/>
        <w:keepLines w:val="0"/>
        <w:pageBreakBefore w:val="0"/>
        <w:widowControl w:val="1"/>
        <w:numPr>
          <w:ilvl w:val="1"/>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Decreto 1071 de 2015. Por medio del cual se expide el Decreto Único Reglamentario del Sector Administrativo Agropecuario, Pesquero y de Desarrollo Rural</w:t>
      </w:r>
    </w:p>
    <w:p w:rsidR="00000000" w:rsidDel="00000000" w:rsidP="00000000" w:rsidRDefault="00000000" w:rsidRPr="00000000" w14:paraId="0000031A">
      <w:pPr>
        <w:keepNext w:val="0"/>
        <w:keepLines w:val="0"/>
        <w:pageBreakBefore w:val="0"/>
        <w:widowControl w:val="1"/>
        <w:numPr>
          <w:ilvl w:val="1"/>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Ley 1876 de 2017 por medio de la cual se crea el Sistema Nacional de Innovación Agropecuaria y se dictan otras disposiciones.</w:t>
      </w:r>
    </w:p>
    <w:p w:rsidR="00000000" w:rsidDel="00000000" w:rsidP="00000000" w:rsidRDefault="00000000" w:rsidRPr="00000000" w14:paraId="0000031B">
      <w:pPr>
        <w:keepNext w:val="0"/>
        <w:keepLines w:val="0"/>
        <w:pageBreakBefore w:val="0"/>
        <w:widowControl w:val="1"/>
        <w:numPr>
          <w:ilvl w:val="1"/>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Ley 607 de 2000 Por medio de la cual se modifica la creación, funcionamiento y operación de las Unidades Municipales de Asistencia Técnica Agropecuaria, UMATA</w:t>
      </w:r>
    </w:p>
    <w:p w:rsidR="00000000" w:rsidDel="00000000" w:rsidP="00000000" w:rsidRDefault="00000000" w:rsidRPr="00000000" w14:paraId="0000031C">
      <w:pPr>
        <w:keepNext w:val="0"/>
        <w:keepLines w:val="0"/>
        <w:pageBreakBefore w:val="0"/>
        <w:widowControl w:val="1"/>
        <w:numPr>
          <w:ilvl w:val="1"/>
          <w:numId w:val="32"/>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Las demás que apliquen a la naturaleza del objeto contractual del presente proceso.</w:t>
      </w:r>
    </w:p>
    <w:p w:rsidR="00000000" w:rsidDel="00000000" w:rsidP="00000000" w:rsidRDefault="00000000" w:rsidRPr="00000000" w14:paraId="0000031D">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1227" w:hanging="360"/>
        <w:jc w:val="left"/>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ANÁLISIS DEL MERCADO</w:t>
      </w:r>
    </w:p>
    <w:p w:rsidR="00000000" w:rsidDel="00000000" w:rsidP="00000000" w:rsidRDefault="00000000" w:rsidRPr="00000000" w14:paraId="000003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6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F">
      <w:pPr>
        <w:keepNext w:val="0"/>
        <w:keepLines w:val="0"/>
        <w:pageBreakBefore w:val="0"/>
        <w:widowControl w:val="1"/>
        <w:numPr>
          <w:ilvl w:val="1"/>
          <w:numId w:val="36"/>
        </w:numPr>
        <w:pBdr>
          <w:top w:space="0" w:sz="0" w:val="nil"/>
          <w:left w:space="0" w:sz="0" w:val="nil"/>
          <w:bottom w:space="0" w:sz="0" w:val="nil"/>
          <w:right w:space="0" w:sz="0" w:val="nil"/>
          <w:between w:space="0" w:sz="0" w:val="nil"/>
        </w:pBdr>
        <w:shd w:fill="auto" w:val="clear"/>
        <w:spacing w:after="0" w:before="0" w:line="240" w:lineRule="auto"/>
        <w:ind w:left="1200" w:right="-1227" w:hanging="420"/>
        <w:jc w:val="left"/>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DE LA DEMANDA:</w:t>
      </w:r>
      <w:r w:rsidDel="00000000" w:rsidR="00000000" w:rsidRPr="00000000">
        <w:rPr>
          <w:rtl w:val="0"/>
        </w:rPr>
      </w:r>
    </w:p>
    <w:p w:rsidR="00000000" w:rsidDel="00000000" w:rsidP="00000000" w:rsidRDefault="00000000" w:rsidRPr="00000000" w14:paraId="00000320">
      <w:pPr>
        <w:pStyle w:val="Heading2"/>
        <w:tabs>
          <w:tab w:val="left" w:leader="none" w:pos="807"/>
        </w:tabs>
        <w:spacing w:before="101" w:lineRule="auto"/>
        <w:jc w:val="both"/>
        <w:rPr>
          <w:rFonts w:ascii="Arial" w:cs="Arial" w:eastAsia="Arial" w:hAnsi="Arial"/>
          <w:b w:val="0"/>
          <w:i w:val="0"/>
          <w:color w:val="000000"/>
          <w:sz w:val="22"/>
          <w:szCs w:val="22"/>
        </w:rPr>
      </w:pPr>
      <w:r w:rsidDel="00000000" w:rsidR="00000000" w:rsidRPr="00000000">
        <w:rPr>
          <w:rFonts w:ascii="Arial" w:cs="Arial" w:eastAsia="Arial" w:hAnsi="Arial"/>
          <w:b w:val="0"/>
          <w:i w:val="0"/>
          <w:color w:val="000000"/>
          <w:sz w:val="22"/>
          <w:szCs w:val="22"/>
          <w:rtl w:val="0"/>
        </w:rPr>
        <w:t xml:space="preserve">En cumplimiento de lo establecido en el decreto 1082 de 2015 se realizó el análisis necesario para conocer el sector relativo, en este caso se revisó condiciones particulares de otros procesos de contratación similares, se acopio información a través de la plataforma SECOP relacionada con procesos anteriores y similares al objeto a contratar que se adelantaron por otras entidades estatales y por el SENA así:</w:t>
      </w:r>
    </w:p>
    <w:p w:rsidR="00000000" w:rsidDel="00000000" w:rsidP="00000000" w:rsidRDefault="00000000" w:rsidRPr="00000000" w14:paraId="00000321">
      <w:pPr>
        <w:rPr/>
      </w:pPr>
      <w:r w:rsidDel="00000000" w:rsidR="00000000" w:rsidRPr="00000000">
        <w:rPr>
          <w:rtl w:val="0"/>
        </w:rPr>
      </w:r>
    </w:p>
    <w:p w:rsidR="00000000" w:rsidDel="00000000" w:rsidP="00000000" w:rsidRDefault="00000000" w:rsidRPr="00000000" w14:paraId="00000322">
      <w:pPr>
        <w:pStyle w:val="Heading2"/>
        <w:tabs>
          <w:tab w:val="left" w:leader="none" w:pos="807"/>
        </w:tabs>
        <w:spacing w:before="101" w:lineRule="auto"/>
        <w:jc w:val="both"/>
        <w:rPr>
          <w:rFonts w:ascii="Arial" w:cs="Arial" w:eastAsia="Arial" w:hAnsi="Arial"/>
          <w:b w:val="0"/>
          <w:i w:val="0"/>
          <w:color w:val="000000"/>
          <w:sz w:val="22"/>
          <w:szCs w:val="22"/>
        </w:rPr>
      </w:pPr>
      <w:r w:rsidDel="00000000" w:rsidR="00000000" w:rsidRPr="00000000">
        <w:rPr>
          <w:rFonts w:ascii="Arial" w:cs="Arial" w:eastAsia="Arial" w:hAnsi="Arial"/>
          <w:b w:val="0"/>
          <w:i w:val="0"/>
          <w:color w:val="000000"/>
          <w:sz w:val="22"/>
          <w:szCs w:val="22"/>
          <w:rtl w:val="0"/>
        </w:rPr>
        <w:t xml:space="preserve">Adquisiciones previas de la entidad: Para analizar el presente sector se tuvo en cuenta los procesos de contratación que el Centro Agropecuario la Granja ha realizado en las vigencias del 2021 al 2024:</w:t>
      </w:r>
    </w:p>
    <w:p w:rsidR="00000000" w:rsidDel="00000000" w:rsidP="00000000" w:rsidRDefault="00000000" w:rsidRPr="00000000" w14:paraId="00000323">
      <w:pPr>
        <w:rPr/>
      </w:pPr>
      <w:r w:rsidDel="00000000" w:rsidR="00000000" w:rsidRPr="00000000">
        <w:rPr>
          <w:rtl w:val="0"/>
        </w:rPr>
      </w:r>
    </w:p>
    <w:p w:rsidR="00000000" w:rsidDel="00000000" w:rsidP="00000000" w:rsidRDefault="00000000" w:rsidRPr="00000000" w14:paraId="00000324">
      <w:pPr>
        <w:rPr/>
      </w:pPr>
      <w:r w:rsidDel="00000000" w:rsidR="00000000" w:rsidRPr="00000000">
        <w:rPr>
          <w:rtl w:val="0"/>
        </w:rPr>
      </w:r>
    </w:p>
    <w:tbl>
      <w:tblPr>
        <w:tblStyle w:val="Table9"/>
        <w:tblW w:w="867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98"/>
        <w:gridCol w:w="1680"/>
        <w:gridCol w:w="2513"/>
        <w:gridCol w:w="1716"/>
        <w:gridCol w:w="1367"/>
        <w:tblGridChange w:id="0">
          <w:tblGrid>
            <w:gridCol w:w="1398"/>
            <w:gridCol w:w="1680"/>
            <w:gridCol w:w="2513"/>
            <w:gridCol w:w="1716"/>
            <w:gridCol w:w="1367"/>
          </w:tblGrid>
        </w:tblGridChange>
      </w:tblGrid>
      <w:tr>
        <w:trPr>
          <w:cantSplit w:val="0"/>
          <w:trHeight w:val="628" w:hRule="atLeast"/>
          <w:tblHeader w:val="0"/>
        </w:trPr>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25">
            <w:pPr>
              <w:jc w:val="both"/>
              <w:rPr>
                <w:rFonts w:ascii="Calibri" w:cs="Calibri" w:eastAsia="Calibri" w:hAnsi="Calibri"/>
                <w:sz w:val="14"/>
                <w:szCs w:val="14"/>
              </w:rPr>
            </w:pPr>
            <w:r w:rsidDel="00000000" w:rsidR="00000000" w:rsidRPr="00000000">
              <w:rPr>
                <w:rFonts w:ascii="Calibri" w:cs="Calibri" w:eastAsia="Calibri" w:hAnsi="Calibri"/>
                <w:sz w:val="14"/>
                <w:szCs w:val="14"/>
                <w:rtl w:val="0"/>
              </w:rPr>
              <w:t xml:space="preserve">NÚMERO DE PROCESO</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26">
            <w:pPr>
              <w:jc w:val="both"/>
              <w:rPr>
                <w:rFonts w:ascii="Calibri" w:cs="Calibri" w:eastAsia="Calibri" w:hAnsi="Calibri"/>
                <w:color w:val="000000"/>
                <w:sz w:val="14"/>
                <w:szCs w:val="14"/>
              </w:rPr>
            </w:pPr>
            <w:r w:rsidDel="00000000" w:rsidR="00000000" w:rsidRPr="00000000">
              <w:rPr>
                <w:rtl w:val="0"/>
              </w:rPr>
            </w:r>
          </w:p>
          <w:p w:rsidR="00000000" w:rsidDel="00000000" w:rsidP="00000000" w:rsidRDefault="00000000" w:rsidRPr="00000000" w14:paraId="00000327">
            <w:pPr>
              <w:jc w:val="both"/>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ENTIDAD</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28">
            <w:pPr>
              <w:jc w:val="both"/>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OBJETO</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29">
            <w:pPr>
              <w:jc w:val="both"/>
              <w:rPr>
                <w:rFonts w:ascii="Calibri" w:cs="Calibri" w:eastAsia="Calibri" w:hAnsi="Calibri"/>
                <w:b w:val="1"/>
                <w:color w:val="000000"/>
                <w:sz w:val="14"/>
                <w:szCs w:val="14"/>
              </w:rPr>
            </w:pPr>
            <w:r w:rsidDel="00000000" w:rsidR="00000000" w:rsidRPr="00000000">
              <w:rPr>
                <w:rFonts w:ascii="Calibri" w:cs="Calibri" w:eastAsia="Calibri" w:hAnsi="Calibri"/>
                <w:b w:val="1"/>
                <w:color w:val="000000"/>
                <w:sz w:val="14"/>
                <w:szCs w:val="14"/>
                <w:rtl w:val="0"/>
              </w:rPr>
              <w:t xml:space="preserve">DEPARTAMENTO Y MUNICIPIO DE EJECUCIÓN</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2A">
            <w:pPr>
              <w:jc w:val="center"/>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CUANTÍA</w:t>
            </w:r>
          </w:p>
        </w:tc>
      </w:tr>
      <w:tr>
        <w:trPr>
          <w:cantSplit w:val="0"/>
          <w:trHeight w:val="628" w:hRule="atLeast"/>
          <w:tblHeader w:val="0"/>
        </w:trPr>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2B">
            <w:pPr>
              <w:jc w:val="both"/>
              <w:rPr>
                <w:rFonts w:ascii="Calibri" w:cs="Calibri" w:eastAsia="Calibri" w:hAnsi="Calibri"/>
                <w:sz w:val="14"/>
                <w:szCs w:val="14"/>
              </w:rPr>
            </w:pPr>
            <w:r w:rsidDel="00000000" w:rsidR="00000000" w:rsidRPr="00000000">
              <w:rPr>
                <w:rFonts w:ascii="Calibri" w:cs="Calibri" w:eastAsia="Calibri" w:hAnsi="Calibri"/>
                <w:sz w:val="14"/>
                <w:szCs w:val="14"/>
                <w:rtl w:val="0"/>
              </w:rPr>
              <w:t xml:space="preserve">MC-NR-BS-CSCLI-010-2023</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2C">
            <w:pPr>
              <w:jc w:val="both"/>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SENA REGIONAL NARIÑO CENTRO SUR COLOMBIANO DE LOGISTICA INTERNACIONAL</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2D">
            <w:pPr>
              <w:jc w:val="both"/>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CONTRATAR EL SERVICIO DE MANTENIMIENTO GENERAL CORRECTIVO Y/O PREVENTIVO DE LOS TANQUES DE ALMACENAMIENTO DE AGUA, DE TRAMPA DE GRASAS, DE EQUIPOS DE BOMBEO, SERVICIOS DE FUMIGACIÓN Y SERVICIO DE JARDINERÍA PARA DEL CENTRO SUR COLOMBIANO DE LOGÍSTICA INTERNACIONAL DEL SENA REGIONAL NARIÑO.</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2E">
            <w:pPr>
              <w:jc w:val="both"/>
              <w:rPr>
                <w:rFonts w:ascii="Calibri" w:cs="Calibri" w:eastAsia="Calibri" w:hAnsi="Calibri"/>
                <w:b w:val="1"/>
                <w:color w:val="000000"/>
                <w:sz w:val="14"/>
                <w:szCs w:val="14"/>
              </w:rPr>
            </w:pPr>
            <w:r w:rsidDel="00000000" w:rsidR="00000000" w:rsidRPr="00000000">
              <w:rPr>
                <w:rFonts w:ascii="Calibri" w:cs="Calibri" w:eastAsia="Calibri" w:hAnsi="Calibri"/>
                <w:b w:val="1"/>
                <w:color w:val="000000"/>
                <w:sz w:val="14"/>
                <w:szCs w:val="14"/>
                <w:rtl w:val="0"/>
              </w:rPr>
              <w:t xml:space="preserve">NARIÑO IPIALES</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2F">
            <w:pPr>
              <w:jc w:val="center"/>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$21.805.000</w:t>
            </w:r>
          </w:p>
        </w:tc>
      </w:tr>
      <w:tr>
        <w:trPr>
          <w:cantSplit w:val="0"/>
          <w:trHeight w:val="628" w:hRule="atLeast"/>
          <w:tblHeader w:val="0"/>
        </w:trPr>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30">
            <w:pPr>
              <w:jc w:val="both"/>
              <w:rPr>
                <w:rFonts w:ascii="Calibri" w:cs="Calibri" w:eastAsia="Calibri" w:hAnsi="Calibri"/>
                <w:color w:val="000000"/>
                <w:sz w:val="14"/>
                <w:szCs w:val="14"/>
                <w:u w:val="single"/>
              </w:rPr>
            </w:pPr>
            <w:r w:rsidDel="00000000" w:rsidR="00000000" w:rsidRPr="00000000">
              <w:rPr>
                <w:rFonts w:ascii="Calibri" w:cs="Calibri" w:eastAsia="Calibri" w:hAnsi="Calibri"/>
                <w:color w:val="000000"/>
                <w:sz w:val="14"/>
                <w:szCs w:val="14"/>
                <w:u w:val="single"/>
                <w:rtl w:val="0"/>
              </w:rPr>
              <w:t xml:space="preserve">MC-RT-9226-517-2023</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31">
            <w:pPr>
              <w:jc w:val="both"/>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SENA REGIONAL TOLIMA 1</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32">
            <w:pPr>
              <w:jc w:val="both"/>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Prestación del servicio de fumigación, control de plagas y vectores de las diferentes áreas del Centro de Industria y Construcción</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33">
            <w:pPr>
              <w:jc w:val="both"/>
              <w:rPr>
                <w:rFonts w:ascii="Calibri" w:cs="Calibri" w:eastAsia="Calibri" w:hAnsi="Calibri"/>
                <w:b w:val="1"/>
                <w:color w:val="000000"/>
                <w:sz w:val="14"/>
                <w:szCs w:val="14"/>
              </w:rPr>
            </w:pPr>
            <w:r w:rsidDel="00000000" w:rsidR="00000000" w:rsidRPr="00000000">
              <w:rPr>
                <w:rFonts w:ascii="Calibri" w:cs="Calibri" w:eastAsia="Calibri" w:hAnsi="Calibri"/>
                <w:b w:val="1"/>
                <w:color w:val="000000"/>
                <w:sz w:val="14"/>
                <w:szCs w:val="14"/>
                <w:rtl w:val="0"/>
              </w:rPr>
              <w:t xml:space="preserve">TOLIMA IBAGUE</w:t>
            </w:r>
          </w:p>
        </w:tc>
        <w:tc>
          <w:tcPr>
            <w:tcBorders>
              <w:top w:color="000000" w:space="0" w:sz="4" w:val="single"/>
              <w:left w:color="000000" w:space="0" w:sz="4" w:val="single"/>
              <w:bottom w:color="000000" w:space="0" w:sz="4" w:val="single"/>
              <w:right w:color="000000" w:space="0" w:sz="4" w:val="single"/>
            </w:tcBorders>
            <w:shd w:fill="fbfbfb" w:val="clear"/>
            <w:vAlign w:val="center"/>
          </w:tcPr>
          <w:p w:rsidR="00000000" w:rsidDel="00000000" w:rsidP="00000000" w:rsidRDefault="00000000" w:rsidRPr="00000000" w14:paraId="00000334">
            <w:pPr>
              <w:jc w:val="center"/>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$24.566.654</w:t>
            </w:r>
          </w:p>
        </w:tc>
      </w:tr>
      <w:tr>
        <w:trPr>
          <w:cantSplit w:val="0"/>
          <w:trHeight w:val="6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35">
            <w:pPr>
              <w:jc w:val="both"/>
              <w:rPr>
                <w:rFonts w:ascii="Calibri" w:cs="Calibri" w:eastAsia="Calibri" w:hAnsi="Calibri"/>
                <w:color w:val="000000"/>
                <w:sz w:val="14"/>
                <w:szCs w:val="14"/>
                <w:u w:val="single"/>
              </w:rPr>
            </w:pPr>
            <w:r w:rsidDel="00000000" w:rsidR="00000000" w:rsidRPr="00000000">
              <w:rPr>
                <w:rFonts w:ascii="Calibri" w:cs="Calibri" w:eastAsia="Calibri" w:hAnsi="Calibri"/>
                <w:color w:val="000000"/>
                <w:sz w:val="14"/>
                <w:szCs w:val="14"/>
                <w:u w:val="single"/>
                <w:rtl w:val="0"/>
              </w:rPr>
              <w:t xml:space="preserve">MC-ANT-CDHC-05-9203-90-2023</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36">
            <w:pPr>
              <w:jc w:val="both"/>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SENA REGIONAL ANTIOQUIA</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37">
            <w:pPr>
              <w:jc w:val="both"/>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servicios de fumigación y aplicación de insecticidas para mosquitos y roedores en los diferentes ambientes del complejo norte y sedes</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38">
            <w:pPr>
              <w:jc w:val="both"/>
              <w:rPr>
                <w:rFonts w:ascii="Calibri" w:cs="Calibri" w:eastAsia="Calibri" w:hAnsi="Calibri"/>
                <w:b w:val="1"/>
                <w:color w:val="000000"/>
                <w:sz w:val="14"/>
                <w:szCs w:val="14"/>
              </w:rPr>
            </w:pPr>
            <w:r w:rsidDel="00000000" w:rsidR="00000000" w:rsidRPr="00000000">
              <w:rPr>
                <w:rFonts w:ascii="Calibri" w:cs="Calibri" w:eastAsia="Calibri" w:hAnsi="Calibri"/>
                <w:b w:val="1"/>
                <w:color w:val="000000"/>
                <w:sz w:val="14"/>
                <w:szCs w:val="14"/>
                <w:rtl w:val="0"/>
              </w:rPr>
              <w:t xml:space="preserve">ANTIOQUIA MEDELLIN</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39">
            <w:pPr>
              <w:jc w:val="center"/>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$54.747.973</w:t>
            </w:r>
          </w:p>
        </w:tc>
      </w:tr>
      <w:tr>
        <w:trPr>
          <w:cantSplit w:val="0"/>
          <w:trHeight w:val="6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3A">
            <w:pPr>
              <w:jc w:val="both"/>
              <w:rPr>
                <w:rFonts w:ascii="Calibri" w:cs="Calibri" w:eastAsia="Calibri" w:hAnsi="Calibri"/>
                <w:color w:val="000000"/>
                <w:sz w:val="14"/>
                <w:szCs w:val="14"/>
                <w:u w:val="single"/>
              </w:rPr>
            </w:pPr>
            <w:r w:rsidDel="00000000" w:rsidR="00000000" w:rsidRPr="00000000">
              <w:rPr>
                <w:rFonts w:ascii="Calibri" w:cs="Calibri" w:eastAsia="Calibri" w:hAnsi="Calibri"/>
                <w:color w:val="000000"/>
                <w:sz w:val="14"/>
                <w:szCs w:val="14"/>
                <w:u w:val="single"/>
                <w:rtl w:val="0"/>
              </w:rPr>
              <w:t xml:space="preserve">MC-CIC-9226-374-2024</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3B">
            <w:pPr>
              <w:jc w:val="both"/>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SENA REGIONAL TOLIMA – Centro de Industria y la Constucción</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3C">
            <w:pPr>
              <w:jc w:val="both"/>
              <w:rPr>
                <w:rFonts w:ascii="Calibri" w:cs="Calibri" w:eastAsia="Calibri" w:hAnsi="Calibri"/>
                <w:color w:val="000000"/>
                <w:sz w:val="14"/>
                <w:szCs w:val="1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3D">
            <w:pPr>
              <w:jc w:val="both"/>
              <w:rPr>
                <w:rFonts w:ascii="Calibri" w:cs="Calibri" w:eastAsia="Calibri" w:hAnsi="Calibri"/>
                <w:b w:val="1"/>
                <w:color w:val="000000"/>
                <w:sz w:val="14"/>
                <w:szCs w:val="14"/>
              </w:rPr>
            </w:pPr>
            <w:r w:rsidDel="00000000" w:rsidR="00000000" w:rsidRPr="00000000">
              <w:rPr>
                <w:rFonts w:ascii="Calibri" w:cs="Calibri" w:eastAsia="Calibri" w:hAnsi="Calibri"/>
                <w:b w:val="1"/>
                <w:color w:val="000000"/>
                <w:sz w:val="14"/>
                <w:szCs w:val="14"/>
                <w:rtl w:val="0"/>
              </w:rPr>
              <w:t xml:space="preserve">TOLIMA, IBAGUÉ</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3E">
            <w:pPr>
              <w:jc w:val="center"/>
              <w:rPr>
                <w:rFonts w:ascii="Calibri" w:cs="Calibri" w:eastAsia="Calibri" w:hAnsi="Calibri"/>
                <w:color w:val="000000"/>
                <w:sz w:val="14"/>
                <w:szCs w:val="14"/>
              </w:rPr>
            </w:pPr>
            <w:r w:rsidDel="00000000" w:rsidR="00000000" w:rsidRPr="00000000">
              <w:rPr>
                <w:rFonts w:ascii="Calibri" w:cs="Calibri" w:eastAsia="Calibri" w:hAnsi="Calibri"/>
                <w:color w:val="000000"/>
                <w:sz w:val="14"/>
                <w:szCs w:val="14"/>
                <w:rtl w:val="0"/>
              </w:rPr>
              <w:t xml:space="preserve">$25.000.000</w:t>
            </w:r>
          </w:p>
        </w:tc>
      </w:tr>
      <w:tr>
        <w:trPr>
          <w:cantSplit w:val="0"/>
          <w:trHeight w:val="6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3F">
            <w:pPr>
              <w:jc w:val="both"/>
              <w:rPr>
                <w:rFonts w:ascii="Calibri" w:cs="Calibri" w:eastAsia="Calibri" w:hAnsi="Calibri"/>
                <w:color w:val="000000"/>
                <w:sz w:val="14"/>
                <w:szCs w:val="14"/>
                <w:u w:val="singl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40">
            <w:pPr>
              <w:jc w:val="both"/>
              <w:rPr>
                <w:rFonts w:ascii="Calibri" w:cs="Calibri" w:eastAsia="Calibri" w:hAnsi="Calibri"/>
                <w:color w:val="000000"/>
                <w:sz w:val="14"/>
                <w:szCs w:val="1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41">
            <w:pPr>
              <w:jc w:val="both"/>
              <w:rPr>
                <w:rFonts w:ascii="Calibri" w:cs="Calibri" w:eastAsia="Calibri" w:hAnsi="Calibri"/>
                <w:color w:val="000000"/>
                <w:sz w:val="14"/>
                <w:szCs w:val="1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42">
            <w:pPr>
              <w:jc w:val="both"/>
              <w:rPr>
                <w:rFonts w:ascii="Calibri" w:cs="Calibri" w:eastAsia="Calibri" w:hAnsi="Calibri"/>
                <w:b w:val="1"/>
                <w:color w:val="000000"/>
                <w:sz w:val="14"/>
                <w:szCs w:val="1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43">
            <w:pPr>
              <w:jc w:val="center"/>
              <w:rPr>
                <w:rFonts w:ascii="Calibri" w:cs="Calibri" w:eastAsia="Calibri" w:hAnsi="Calibri"/>
                <w:color w:val="000000"/>
                <w:sz w:val="14"/>
                <w:szCs w:val="14"/>
              </w:rPr>
            </w:pPr>
            <w:r w:rsidDel="00000000" w:rsidR="00000000" w:rsidRPr="00000000">
              <w:rPr>
                <w:rtl w:val="0"/>
              </w:rPr>
            </w:r>
          </w:p>
        </w:tc>
      </w:tr>
      <w:tr>
        <w:trPr>
          <w:cantSplit w:val="0"/>
          <w:trHeight w:val="6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44">
            <w:pPr>
              <w:jc w:val="both"/>
              <w:rPr>
                <w:rFonts w:ascii="Calibri" w:cs="Calibri" w:eastAsia="Calibri" w:hAnsi="Calibri"/>
                <w:color w:val="000000"/>
                <w:sz w:val="14"/>
                <w:szCs w:val="14"/>
                <w:u w:val="singl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45">
            <w:pPr>
              <w:jc w:val="both"/>
              <w:rPr>
                <w:rFonts w:ascii="Calibri" w:cs="Calibri" w:eastAsia="Calibri" w:hAnsi="Calibri"/>
                <w:color w:val="000000"/>
                <w:sz w:val="14"/>
                <w:szCs w:val="1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46">
            <w:pPr>
              <w:jc w:val="both"/>
              <w:rPr>
                <w:rFonts w:ascii="Calibri" w:cs="Calibri" w:eastAsia="Calibri" w:hAnsi="Calibri"/>
                <w:color w:val="000000"/>
                <w:sz w:val="14"/>
                <w:szCs w:val="1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47">
            <w:pPr>
              <w:jc w:val="both"/>
              <w:rPr>
                <w:rFonts w:ascii="Calibri" w:cs="Calibri" w:eastAsia="Calibri" w:hAnsi="Calibri"/>
                <w:b w:val="1"/>
                <w:color w:val="000000"/>
                <w:sz w:val="14"/>
                <w:szCs w:val="1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348">
            <w:pPr>
              <w:jc w:val="center"/>
              <w:rPr>
                <w:rFonts w:ascii="Calibri" w:cs="Calibri" w:eastAsia="Calibri" w:hAnsi="Calibri"/>
                <w:color w:val="000000"/>
                <w:sz w:val="14"/>
                <w:szCs w:val="14"/>
              </w:rPr>
            </w:pPr>
            <w:r w:rsidDel="00000000" w:rsidR="00000000" w:rsidRPr="00000000">
              <w:rPr>
                <w:rtl w:val="0"/>
              </w:rPr>
            </w:r>
          </w:p>
        </w:tc>
      </w:tr>
    </w:tbl>
    <w:p w:rsidR="00000000" w:rsidDel="00000000" w:rsidP="00000000" w:rsidRDefault="00000000" w:rsidRPr="00000000" w14:paraId="00000349">
      <w:pPr>
        <w:rPr/>
      </w:pPr>
      <w:r w:rsidDel="00000000" w:rsidR="00000000" w:rsidRPr="00000000">
        <w:rPr>
          <w:rtl w:val="0"/>
        </w:rPr>
      </w:r>
    </w:p>
    <w:p w:rsidR="00000000" w:rsidDel="00000000" w:rsidP="00000000" w:rsidRDefault="00000000" w:rsidRPr="00000000" w14:paraId="0000034A">
      <w:pPr>
        <w:ind w:right="74"/>
        <w:jc w:val="both"/>
        <w:rPr>
          <w:rFonts w:ascii="Arial" w:cs="Arial" w:eastAsia="Arial" w:hAnsi="Arial"/>
          <w:b w:val="1"/>
        </w:rPr>
      </w:pPr>
      <w:r w:rsidDel="00000000" w:rsidR="00000000" w:rsidRPr="00000000">
        <w:rPr>
          <w:rtl w:val="0"/>
        </w:rPr>
      </w:r>
    </w:p>
    <w:p w:rsidR="00000000" w:rsidDel="00000000" w:rsidP="00000000" w:rsidRDefault="00000000" w:rsidRPr="00000000" w14:paraId="0000034B">
      <w:pPr>
        <w:keepNext w:val="0"/>
        <w:keepLines w:val="0"/>
        <w:pageBreakBefore w:val="0"/>
        <w:widowControl w:val="1"/>
        <w:numPr>
          <w:ilvl w:val="1"/>
          <w:numId w:val="36"/>
        </w:numPr>
        <w:pBdr>
          <w:top w:space="0" w:sz="0" w:val="nil"/>
          <w:left w:space="0" w:sz="0" w:val="nil"/>
          <w:bottom w:space="0" w:sz="0" w:val="nil"/>
          <w:right w:space="0" w:sz="0" w:val="nil"/>
          <w:between w:space="0" w:sz="0" w:val="nil"/>
        </w:pBdr>
        <w:shd w:fill="auto" w:val="clear"/>
        <w:spacing w:after="200" w:before="0" w:line="276" w:lineRule="auto"/>
        <w:ind w:left="1200" w:right="74" w:hanging="42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DE LA OFERTA:</w:t>
      </w:r>
    </w:p>
    <w:p w:rsidR="00000000" w:rsidDel="00000000" w:rsidP="00000000" w:rsidRDefault="00000000" w:rsidRPr="00000000" w14:paraId="000003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partir del estudio de mercado por medio de la cual se pretender estudiar el mercado del Departamento de Tolima y a nivel nacional, en el cual se analiza la fase inicial de conducta comercial o de servicios, en donde la sección de planeación del SENA, solicita diferentes cotizaciones a entidades que presten los servicios requeridos y estén legalmente constituidas, se determina que en el mercado existen entidades con la capacidad de proveer el objeto actual, bajo todos los requisitos técnicos, plazos de ejecución y formas de pago que se establecen en el presente proceso de selección.</w:t>
      </w:r>
    </w:p>
    <w:p w:rsidR="00000000" w:rsidDel="00000000" w:rsidP="00000000" w:rsidRDefault="00000000" w:rsidRPr="00000000" w14:paraId="000003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Lo anterior, no significa que solo se deben presentar estas entidades, cualquier entidad que se encuentre en la capacidad de prestar los servicios requeridos, puede participar en el presente proceso de selección.</w:t>
      </w:r>
    </w:p>
    <w:p w:rsidR="00000000" w:rsidDel="00000000" w:rsidP="00000000" w:rsidRDefault="00000000" w:rsidRPr="00000000" w14:paraId="000003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 general todas las empresas compiten para satisfacer las necesidades de sus clientes en diversas actividades que desarrollan, con talento humano calificado, responsable, comprometido con la calidad y procurando la satisfacción del cliente, son partícipes esenciales de la compra y la contratación pública.</w:t>
      </w:r>
    </w:p>
    <w:p w:rsidR="00000000" w:rsidDel="00000000" w:rsidP="00000000" w:rsidRDefault="00000000" w:rsidRPr="00000000" w14:paraId="000003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mismo, por las consultas realizadas se evidencia que no es un mercado cerrado y que entidades de diferentes regiones del país pueden participar del requerimiento de la entidad, con precios competitivos, por lo cual se minimiza el riesgo de oferta para la entidad, constituyendo un mercado flexible y de fácil consecución.</w:t>
      </w:r>
    </w:p>
    <w:p w:rsidR="00000000" w:rsidDel="00000000" w:rsidP="00000000" w:rsidRDefault="00000000" w:rsidRPr="00000000" w14:paraId="000003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5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Creación de empresas en Colombia</w:t>
      </w:r>
    </w:p>
    <w:p w:rsidR="00000000" w:rsidDel="00000000" w:rsidP="00000000" w:rsidRDefault="00000000" w:rsidRPr="00000000" w14:paraId="0000035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Según datos del DANE, la economía colombiana registró un crecimiento del 2% al cierre del tercer trimestre de 2024, impulsado principalmente por un aumento significativo en la inversión, que creció un 22,7%, y un incremento del 1,6% en el consumo de los hogares. En el ámbito laboral, se observaron señales de recuperación, con una tasa de desempleo nacional que alcanzó el 8,2%, marcando una mejora respecto al 9,0% registrado en el mismo periodo del año anterior.</w:t>
      </w:r>
    </w:p>
    <w:p w:rsidR="00000000" w:rsidDel="00000000" w:rsidP="00000000" w:rsidRDefault="00000000" w:rsidRPr="00000000" w14:paraId="0000035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Según el Banco de la Republica en términos de precios, la inflación anual se redujo al 5,2%, la más baja de los últimos cuatro años, aunque todavía se encuentra por encima de la meta del 3% fijada por el ente emisor. Ante esta desaceleración inflacionaria, el Banco redujo la tasa de interés de política monetaria a 9,5% al cierre de 2024, buscando estimular la actividad económica y acercar la inflación a su objetivo.</w:t>
      </w:r>
    </w:p>
    <w:p w:rsidR="00000000" w:rsidDel="00000000" w:rsidP="00000000" w:rsidRDefault="00000000" w:rsidRPr="00000000" w14:paraId="0000035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 este contexto, la Confederación Colombiana de Cámaras de Comercio (Confecámaras) presenta el informe de dinámica de creación de empresas para el 2024. De acuerdo con los registros del RUES de las cámaras de comercio del país, en 2024 se crearon 297.475 nuevas empresas, un 2,8% menos que en 2023 cuando se establecieron 305.997 compañías. Del total de nuevas empresas, el 72,3% fueron creadas por personas naturales y el 27,7%, por sociedades. En comparación con 2023, las matrículas de nuevas de sociedades aumentaron un 5,2%, mientras que las de personas naturales cayeron un 5,5%.</w:t>
      </w:r>
    </w:p>
    <w:p w:rsidR="00000000" w:rsidDel="00000000" w:rsidP="00000000" w:rsidRDefault="00000000" w:rsidRPr="00000000" w14:paraId="0000035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Este resultado refleja un panorama alentador para el tejido empresarial colombiano, evidenciando la fortaleza y el dinamismo de las empresas como motor del desarrollo económico del país. Estudios de Confecámaras han encontrado que las sociedades en Colombia tienen una tasa de supervivencia del 44% a los cinco años, mientras que las personas naturales solo alcanzan el 30%. Esto revela la mayor capacidad de las empresas que se constituyen como sociedades para enfrentar obstáculos y perdurar en el tiempo. Asimismo, las sociedades también presentan una tasa de movilidad del 18%, considerablemente superior al 0,7% de las personas naturales, lo que destaca su mayor potencial para crecer, diversificarse y contribuir al desarrollo económico del país.</w:t>
      </w:r>
    </w:p>
    <w:p w:rsidR="00000000" w:rsidDel="00000000" w:rsidP="00000000" w:rsidRDefault="00000000" w:rsidRPr="00000000" w14:paraId="000003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600075</wp:posOffset>
            </wp:positionH>
            <wp:positionV relativeFrom="paragraph">
              <wp:posOffset>5080</wp:posOffset>
            </wp:positionV>
            <wp:extent cx="3715385" cy="2119630"/>
            <wp:effectExtent b="0" l="0" r="0" t="0"/>
            <wp:wrapSquare wrapText="bothSides" distB="0" distT="0" distL="114300" distR="114300"/>
            <wp:docPr id="6" name="image10.png"/>
            <a:graphic>
              <a:graphicData uri="http://schemas.openxmlformats.org/drawingml/2006/picture">
                <pic:pic>
                  <pic:nvPicPr>
                    <pic:cNvPr id="0" name="image10.png"/>
                    <pic:cNvPicPr preferRelativeResize="0"/>
                  </pic:nvPicPr>
                  <pic:blipFill>
                    <a:blip r:embed="rId15"/>
                    <a:srcRect b="5725" l="15989" r="15434" t="24690"/>
                    <a:stretch>
                      <a:fillRect/>
                    </a:stretch>
                  </pic:blipFill>
                  <pic:spPr>
                    <a:xfrm>
                      <a:off x="0" y="0"/>
                      <a:ext cx="3715385" cy="2119630"/>
                    </a:xfrm>
                    <a:prstGeom prst="rect"/>
                    <a:ln/>
                  </pic:spPr>
                </pic:pic>
              </a:graphicData>
            </a:graphic>
          </wp:anchor>
        </w:drawing>
      </w:r>
    </w:p>
    <w:p w:rsidR="00000000" w:rsidDel="00000000" w:rsidP="00000000" w:rsidRDefault="00000000" w:rsidRPr="00000000" w14:paraId="000003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6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Creación de empresas por tamaño</w:t>
      </w:r>
    </w:p>
    <w:p w:rsidR="00000000" w:rsidDel="00000000" w:rsidP="00000000" w:rsidRDefault="00000000" w:rsidRPr="00000000" w14:paraId="0000036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Al analizar la evolución de la creación de empresas entre 2023 y 2024, clasificada según el tamaño definido por el valor de sus activos, se observa una disminución del 2,8% en la creación de microempresas, del 8,0% en pequeñas, del 20,4% en medianas y del 9,1% en grandes. La reducción total del 2,8% está explicada en su totalidad por las microempresas, dado que las pequeñas, medianas y grandes tienen una participación marginal en el total de empresas creadas. La significativa concentración de las microempresas, que representan más del 99% del total, destaca su papel crucial en la dinámica empresarial del país.</w:t>
      </w:r>
    </w:p>
    <w:p w:rsidR="00000000" w:rsidDel="00000000" w:rsidP="00000000" w:rsidRDefault="00000000" w:rsidRPr="00000000" w14:paraId="000003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green"/>
          <w:u w:val="none"/>
          <w:vertAlign w:val="baseline"/>
        </w:rPr>
        <w:drawing>
          <wp:inline distB="0" distT="0" distL="0" distR="0">
            <wp:extent cx="4482141" cy="1500686"/>
            <wp:effectExtent b="0" l="0" r="0" t="0"/>
            <wp:docPr id="23" name="image21.png"/>
            <a:graphic>
              <a:graphicData uri="http://schemas.openxmlformats.org/drawingml/2006/picture">
                <pic:pic>
                  <pic:nvPicPr>
                    <pic:cNvPr id="0" name="image21.png"/>
                    <pic:cNvPicPr preferRelativeResize="0"/>
                  </pic:nvPicPr>
                  <pic:blipFill>
                    <a:blip r:embed="rId16"/>
                    <a:srcRect b="27673" l="14448" r="26503" t="37159"/>
                    <a:stretch>
                      <a:fillRect/>
                    </a:stretch>
                  </pic:blipFill>
                  <pic:spPr>
                    <a:xfrm>
                      <a:off x="0" y="0"/>
                      <a:ext cx="4482141" cy="1500686"/>
                    </a:xfrm>
                    <a:prstGeom prst="rect"/>
                    <a:ln/>
                  </pic:spPr>
                </pic:pic>
              </a:graphicData>
            </a:graphic>
          </wp:inline>
        </w:drawing>
      </w:r>
      <w:r w:rsidDel="00000000" w:rsidR="00000000" w:rsidRPr="00000000">
        <w:rPr>
          <w:rtl w:val="0"/>
        </w:rPr>
      </w:r>
    </w:p>
    <w:p w:rsidR="00000000" w:rsidDel="00000000" w:rsidP="00000000" w:rsidRDefault="00000000" w:rsidRPr="00000000" w14:paraId="000003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6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Creación de empresas por organización jurídica</w:t>
      </w:r>
    </w:p>
    <w:p w:rsidR="00000000" w:rsidDel="00000000" w:rsidP="00000000" w:rsidRDefault="00000000" w:rsidRPr="00000000" w14:paraId="0000036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 2024, se constituyeron 82.522 empresas como sociedades, lo que representa un incremento del 5,2% frente a las 78.428 creadas en 2023. De estas, 81.671 correspondieron a microempresas, 814 a pequeñas, 29 a medianas y 8 a grandes. El crecimiento estuvo liderado por las microempresas, cuya creación aumentó un 5,4%. Este resultado reafirma su papel predominante en la estructura empresarial del país. En contraste, las pequeñas y medianas empresas, aunque representan una proporción menor, registraron caídas del 7,8% y 14,7%, respectivamente, en la creación de nuevas sociedades.</w:t>
      </w:r>
    </w:p>
    <w:p w:rsidR="00000000" w:rsidDel="00000000" w:rsidP="00000000" w:rsidRDefault="00000000" w:rsidRPr="00000000" w14:paraId="000003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highlight w:val="green"/>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green"/>
          <w:u w:val="none"/>
          <w:vertAlign w:val="baseline"/>
        </w:rPr>
        <w:drawing>
          <wp:inline distB="0" distT="0" distL="0" distR="0">
            <wp:extent cx="4375832" cy="1490853"/>
            <wp:effectExtent b="0" l="0" r="0" t="0"/>
            <wp:docPr id="26" name="image18.png"/>
            <a:graphic>
              <a:graphicData uri="http://schemas.openxmlformats.org/drawingml/2006/picture">
                <pic:pic>
                  <pic:nvPicPr>
                    <pic:cNvPr id="0" name="image18.png"/>
                    <pic:cNvPicPr preferRelativeResize="0"/>
                  </pic:nvPicPr>
                  <pic:blipFill>
                    <a:blip r:embed="rId17"/>
                    <a:srcRect b="38894" l="14868" r="28742" t="26934"/>
                    <a:stretch>
                      <a:fillRect/>
                    </a:stretch>
                  </pic:blipFill>
                  <pic:spPr>
                    <a:xfrm>
                      <a:off x="0" y="0"/>
                      <a:ext cx="4375832" cy="1490853"/>
                    </a:xfrm>
                    <a:prstGeom prst="rect"/>
                    <a:ln/>
                  </pic:spPr>
                </pic:pic>
              </a:graphicData>
            </a:graphic>
          </wp:inline>
        </w:drawing>
      </w:r>
      <w:r w:rsidDel="00000000" w:rsidR="00000000" w:rsidRPr="00000000">
        <w:rPr>
          <w:rtl w:val="0"/>
        </w:rPr>
      </w:r>
    </w:p>
    <w:p w:rsidR="00000000" w:rsidDel="00000000" w:rsidP="00000000" w:rsidRDefault="00000000" w:rsidRPr="00000000" w14:paraId="000003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highlight w:val="green"/>
          <w:u w:val="none"/>
          <w:vertAlign w:val="baseline"/>
        </w:rPr>
      </w:pPr>
      <w:r w:rsidDel="00000000" w:rsidR="00000000" w:rsidRPr="00000000">
        <w:rPr>
          <w:rtl w:val="0"/>
        </w:rPr>
      </w:r>
    </w:p>
    <w:p w:rsidR="00000000" w:rsidDel="00000000" w:rsidP="00000000" w:rsidRDefault="00000000" w:rsidRPr="00000000" w14:paraId="0000037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Por otro lado, en el 2024 se crearon 214.953 empresas constituidas como personas naturales, lo que representa una disminución del 5,5% en comparación con las 227.569 creadas en el 2023. De las empresas constituidas como personas naturales en 2024, 214.7522 corresponden a microempresas, 152 pequeñas, 14 medianas y 2 grandes.</w:t>
      </w:r>
    </w:p>
    <w:p w:rsidR="00000000" w:rsidDel="00000000" w:rsidP="00000000" w:rsidRDefault="00000000" w:rsidRPr="00000000" w14:paraId="0000037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highlight w:val="green"/>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green"/>
          <w:u w:val="none"/>
          <w:vertAlign w:val="baseline"/>
        </w:rPr>
        <w:drawing>
          <wp:inline distB="0" distT="0" distL="0" distR="0">
            <wp:extent cx="4359750" cy="1481160"/>
            <wp:effectExtent b="0" l="0" r="0" t="0"/>
            <wp:docPr id="24" name="image12.png"/>
            <a:graphic>
              <a:graphicData uri="http://schemas.openxmlformats.org/drawingml/2006/picture">
                <pic:pic>
                  <pic:nvPicPr>
                    <pic:cNvPr id="0" name="image12.png"/>
                    <pic:cNvPicPr preferRelativeResize="0"/>
                  </pic:nvPicPr>
                  <pic:blipFill>
                    <a:blip r:embed="rId18"/>
                    <a:srcRect b="30410" l="15151" r="27468" t="34914"/>
                    <a:stretch>
                      <a:fillRect/>
                    </a:stretch>
                  </pic:blipFill>
                  <pic:spPr>
                    <a:xfrm>
                      <a:off x="0" y="0"/>
                      <a:ext cx="4359750" cy="1481160"/>
                    </a:xfrm>
                    <a:prstGeom prst="rect"/>
                    <a:ln/>
                  </pic:spPr>
                </pic:pic>
              </a:graphicData>
            </a:graphic>
          </wp:inline>
        </w:drawing>
      </w:r>
      <w:r w:rsidDel="00000000" w:rsidR="00000000" w:rsidRPr="00000000">
        <w:rPr>
          <w:rtl w:val="0"/>
        </w:rPr>
      </w:r>
    </w:p>
    <w:p w:rsidR="00000000" w:rsidDel="00000000" w:rsidP="00000000" w:rsidRDefault="00000000" w:rsidRPr="00000000" w14:paraId="0000037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highlight w:val="green"/>
          <w:u w:val="none"/>
          <w:vertAlign w:val="baseline"/>
        </w:rPr>
      </w:pPr>
      <w:r w:rsidDel="00000000" w:rsidR="00000000" w:rsidRPr="00000000">
        <w:rPr>
          <w:rtl w:val="0"/>
        </w:rPr>
      </w:r>
    </w:p>
    <w:p w:rsidR="00000000" w:rsidDel="00000000" w:rsidP="00000000" w:rsidRDefault="00000000" w:rsidRPr="00000000" w14:paraId="0000037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Creación de empresas por sectores económicos</w:t>
      </w:r>
    </w:p>
    <w:p w:rsidR="00000000" w:rsidDel="00000000" w:rsidP="00000000" w:rsidRDefault="00000000" w:rsidRPr="00000000" w14:paraId="0000037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Durante 2024, el sector de agricultura registró un aumento en la creación de empresas de 1,4%. Sin embargo, su impacto en la variación total fue limitado y cercano a 0%. Por otro lado, el sector de extracción registró la mayor contracción porcentual, con una caída del 17,5%. No obstante, debido a su reducido tamaño relativo, su impacto en el total fue limitado (-0,1%). En contraste, los servicios que representan el mayor peso relativo en la creación de empresas experimentaron una contracción del 1,5%, contribuyendo negativamente con un -0,7% a la variación total. Finalmente, el sector comercio tuvo la mayor contribución negativa en la creación de empresas con una caída de 4,8% respecto a 2023.</w:t>
      </w:r>
      <w:r w:rsidDel="00000000" w:rsidR="00000000" w:rsidRPr="00000000">
        <w:rPr>
          <w:rtl w:val="0"/>
        </w:rPr>
      </w:r>
    </w:p>
    <w:p w:rsidR="00000000" w:rsidDel="00000000" w:rsidP="00000000" w:rsidRDefault="00000000" w:rsidRPr="00000000" w14:paraId="0000037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highlight w:val="green"/>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green"/>
          <w:u w:val="none"/>
          <w:vertAlign w:val="baseline"/>
        </w:rPr>
        <w:drawing>
          <wp:inline distB="0" distT="0" distL="0" distR="0">
            <wp:extent cx="5158277" cy="2069102"/>
            <wp:effectExtent b="0" l="0" r="0" t="0"/>
            <wp:docPr descr="Interfaz de usuario gráfica, Texto, Aplicación&#10;&#10;El contenido generado por IA puede ser incorrecto." id="25" name="image24.png"/>
            <a:graphic>
              <a:graphicData uri="http://schemas.openxmlformats.org/drawingml/2006/picture">
                <pic:pic>
                  <pic:nvPicPr>
                    <pic:cNvPr descr="Interfaz de usuario gráfica, Texto, Aplicación&#10;&#10;El contenido generado por IA puede ser incorrecto." id="0" name="image24.png"/>
                    <pic:cNvPicPr preferRelativeResize="0"/>
                  </pic:nvPicPr>
                  <pic:blipFill>
                    <a:blip r:embed="rId19"/>
                    <a:srcRect b="22434" l="14588" r="17243" t="28929"/>
                    <a:stretch>
                      <a:fillRect/>
                    </a:stretch>
                  </pic:blipFill>
                  <pic:spPr>
                    <a:xfrm>
                      <a:off x="0" y="0"/>
                      <a:ext cx="5158277" cy="2069102"/>
                    </a:xfrm>
                    <a:prstGeom prst="rect"/>
                    <a:ln/>
                  </pic:spPr>
                </pic:pic>
              </a:graphicData>
            </a:graphic>
          </wp:inline>
        </w:drawing>
      </w:r>
      <w:r w:rsidDel="00000000" w:rsidR="00000000" w:rsidRPr="00000000">
        <w:rPr>
          <w:rtl w:val="0"/>
        </w:rPr>
      </w:r>
    </w:p>
    <w:p w:rsidR="00000000" w:rsidDel="00000000" w:rsidP="00000000" w:rsidRDefault="00000000" w:rsidRPr="00000000" w14:paraId="0000037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highlight w:val="green"/>
          <w:u w:val="none"/>
          <w:vertAlign w:val="baseline"/>
        </w:rPr>
      </w:pPr>
      <w:r w:rsidDel="00000000" w:rsidR="00000000" w:rsidRPr="00000000">
        <w:rPr>
          <w:rtl w:val="0"/>
        </w:rPr>
      </w:r>
    </w:p>
    <w:p w:rsidR="00000000" w:rsidDel="00000000" w:rsidP="00000000" w:rsidRDefault="00000000" w:rsidRPr="00000000" w14:paraId="0000037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El subsector de actividades inmobiliarias registró un incremento del 8,6%, lo que se traduce en una contribución positiva del 0,2% al total, destacándose como uno de los subsectores con un crecimiento significativo. En paralelo, el subsector de actividades profesionales, científicas y técnicas experimentó un crecimiento más modesto del 2,6%, pero con una contribución de 0,2%. Por su parte, las actividades de los hogares individuales como productores mostraron un aumento notable del 22,6%, aunque su contribución al total es muy pequeña (0,0%).</w:t>
      </w:r>
    </w:p>
    <w:p w:rsidR="00000000" w:rsidDel="00000000" w:rsidP="00000000" w:rsidRDefault="00000000" w:rsidRPr="00000000" w14:paraId="0000037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green"/>
          <w:u w:val="none"/>
          <w:vertAlign w:val="baseline"/>
        </w:rPr>
        <w:drawing>
          <wp:inline distB="0" distT="0" distL="0" distR="0">
            <wp:extent cx="4651708" cy="4159196"/>
            <wp:effectExtent b="0" l="0" r="0" t="0"/>
            <wp:docPr descr="Interfaz de usuario gráfica, Texto, Aplicación&#10;&#10;El contenido generado por IA puede ser incorrecto." id="27" name="image27.png"/>
            <a:graphic>
              <a:graphicData uri="http://schemas.openxmlformats.org/drawingml/2006/picture">
                <pic:pic>
                  <pic:nvPicPr>
                    <pic:cNvPr descr="Interfaz de usuario gráfica, Texto, Aplicación&#10;&#10;El contenido generado por IA puede ser incorrecto." id="0" name="image27.png"/>
                    <pic:cNvPicPr preferRelativeResize="0"/>
                  </pic:nvPicPr>
                  <pic:blipFill>
                    <a:blip r:embed="rId20"/>
                    <a:srcRect b="5215" l="27630" r="29442" t="23442"/>
                    <a:stretch>
                      <a:fillRect/>
                    </a:stretch>
                  </pic:blipFill>
                  <pic:spPr>
                    <a:xfrm>
                      <a:off x="0" y="0"/>
                      <a:ext cx="4651708" cy="4159196"/>
                    </a:xfrm>
                    <a:prstGeom prst="rect"/>
                    <a:ln/>
                  </pic:spPr>
                </pic:pic>
              </a:graphicData>
            </a:graphic>
          </wp:inline>
        </w:drawing>
      </w:r>
      <w:r w:rsidDel="00000000" w:rsidR="00000000" w:rsidRPr="00000000">
        <w:rPr>
          <w:rtl w:val="0"/>
        </w:rPr>
      </w:r>
    </w:p>
    <w:p w:rsidR="00000000" w:rsidDel="00000000" w:rsidP="00000000" w:rsidRDefault="00000000" w:rsidRPr="00000000" w14:paraId="0000037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274"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Generación de empleo</w:t>
      </w:r>
    </w:p>
    <w:p w:rsidR="00000000" w:rsidDel="00000000" w:rsidP="00000000" w:rsidRDefault="00000000" w:rsidRPr="00000000" w14:paraId="000003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274"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Según el RUES, el 45% de las nuevas empresas creadas en 2024 generaron al menos un puesto de trabajo. De estas empresas generadoras de empleo, el 38% pertenecen al comercio al por mayor y al por menor, el 17% al sector de alojamiento y servicios de comida, el 10% a industrias manufactureras, el 6% a actividades profesionales, científicas y técnicas, y otro 5% al sector de la construcción.</w:t>
      </w:r>
    </w:p>
    <w:p w:rsidR="00000000" w:rsidDel="00000000" w:rsidP="00000000" w:rsidRDefault="00000000" w:rsidRPr="00000000" w14:paraId="000003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274"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27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274"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5659864" cy="3259794"/>
            <wp:effectExtent b="0" l="0" r="0" t="0"/>
            <wp:docPr id="28" name="image25.png"/>
            <a:graphic>
              <a:graphicData uri="http://schemas.openxmlformats.org/drawingml/2006/picture">
                <pic:pic>
                  <pic:nvPicPr>
                    <pic:cNvPr id="0" name="image25.png"/>
                    <pic:cNvPicPr preferRelativeResize="0"/>
                  </pic:nvPicPr>
                  <pic:blipFill>
                    <a:blip r:embed="rId21"/>
                    <a:srcRect b="15156" l="21834" r="25093" t="30471"/>
                    <a:stretch>
                      <a:fillRect/>
                    </a:stretch>
                  </pic:blipFill>
                  <pic:spPr>
                    <a:xfrm>
                      <a:off x="0" y="0"/>
                      <a:ext cx="5659864" cy="3259794"/>
                    </a:xfrm>
                    <a:prstGeom prst="rect"/>
                    <a:ln/>
                  </pic:spPr>
                </pic:pic>
              </a:graphicData>
            </a:graphic>
          </wp:inline>
        </w:drawing>
      </w:r>
      <w:r w:rsidDel="00000000" w:rsidR="00000000" w:rsidRPr="00000000">
        <w:rPr>
          <w:rtl w:val="0"/>
        </w:rPr>
      </w:r>
    </w:p>
    <w:p w:rsidR="00000000" w:rsidDel="00000000" w:rsidP="00000000" w:rsidRDefault="00000000" w:rsidRPr="00000000" w14:paraId="000003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274"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274"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Generalidades:</w:t>
      </w:r>
    </w:p>
    <w:p w:rsidR="00000000" w:rsidDel="00000000" w:rsidP="00000000" w:rsidRDefault="00000000" w:rsidRPr="00000000" w14:paraId="000003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274"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274"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pesar de las dificultades, el tejido empresarial mostró una notable resiliencia. El número total de empresas en el país aumentó en 4.769 unidades, pasando de 1.733.636 en 2023 a 1.739.405 en 2024, lo que representa un crecimiento del 0,3%. Este incremento evidencia que, aunque se redujo la creación de nuevas empresas, el sector empresarial sigue adaptándose y fortaleciendo su papel como pilar de la economía nacional.</w:t>
      </w:r>
    </w:p>
    <w:p w:rsidR="00000000" w:rsidDel="00000000" w:rsidP="00000000" w:rsidRDefault="00000000" w:rsidRPr="00000000" w14:paraId="000003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274"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 cara a 2025, las perspectivas económicas son positivas. La OCDE proyecta un crecimiento del 2,7% para Colombia, mientras que se espera que la inflación converja hacia el rango meta del Banco de la República (2%-4%) en el segundo trimestre. Asimismo, se prevé una reducción de la tasa de interés de intervención al 6% hacia finales de año, creando condiciones clave para estimular el consumo y la inversión privada.</w:t>
      </w:r>
    </w:p>
    <w:p w:rsidR="00000000" w:rsidDel="00000000" w:rsidP="00000000" w:rsidRDefault="00000000" w:rsidRPr="00000000" w14:paraId="000003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274"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88">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200" w:before="0" w:line="276" w:lineRule="auto"/>
        <w:ind w:left="720" w:right="74"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ANÁLISIS DE LA MODALIDAD DE CONTRATACIÓN DEL PRESENTE OBJETO CONTRACTUAL</w:t>
      </w:r>
    </w:p>
    <w:p w:rsidR="00000000" w:rsidDel="00000000" w:rsidP="00000000" w:rsidRDefault="00000000" w:rsidRPr="00000000" w14:paraId="00000389">
      <w:pPr>
        <w:ind w:right="7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Entidad identificó que la necesidad puede ser satisfecha por persona natural o jurídica que cumpla con los requisitos exigidos en el Estudio Previo y que ofrezca las condiciones técnicas, legales, financieras y demás dentro del proceso de Selección Abreviada de Menor, para cumplimiento del objeto contractual.</w:t>
      </w:r>
    </w:p>
    <w:p w:rsidR="00000000" w:rsidDel="00000000" w:rsidP="00000000" w:rsidRDefault="00000000" w:rsidRPr="00000000" w14:paraId="0000038A">
      <w:pPr>
        <w:ind w:right="74"/>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8B">
      <w:pPr>
        <w:spacing w:after="120" w:lineRule="auto"/>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objeto que se requiere contratar corresponde a </w:t>
      </w:r>
      <w:r w:rsidDel="00000000" w:rsidR="00000000" w:rsidRPr="00000000">
        <w:rPr>
          <w:rFonts w:ascii="Arial" w:cs="Arial" w:eastAsia="Arial" w:hAnsi="Arial"/>
          <w:b w:val="1"/>
          <w:sz w:val="22"/>
          <w:szCs w:val="22"/>
          <w:rtl w:val="0"/>
        </w:rPr>
        <w:t xml:space="preserve">“CONTRATAR LA FUMIGACIÓN, CONTROL DE ROEDORES PLAGAS Y VECTORES, DEL CENTRO AGROPECUARIO LA GRANJA 2025”</w:t>
      </w:r>
      <w:r w:rsidDel="00000000" w:rsidR="00000000" w:rsidRPr="00000000">
        <w:rPr>
          <w:rFonts w:ascii="Arial" w:cs="Arial" w:eastAsia="Arial" w:hAnsi="Arial"/>
          <w:color w:val="000000"/>
          <w:sz w:val="22"/>
          <w:szCs w:val="22"/>
          <w:rtl w:val="0"/>
        </w:rPr>
        <w:t xml:space="preserve">, por ende, la escogencia del contratista se efectuará a través de la </w:t>
      </w:r>
      <w:r w:rsidDel="00000000" w:rsidR="00000000" w:rsidRPr="00000000">
        <w:rPr>
          <w:rFonts w:ascii="Arial" w:cs="Arial" w:eastAsia="Arial" w:hAnsi="Arial"/>
          <w:b w:val="1"/>
          <w:color w:val="000000"/>
          <w:sz w:val="22"/>
          <w:szCs w:val="22"/>
          <w:rtl w:val="0"/>
        </w:rPr>
        <w:t xml:space="preserve">Modalidad de Mínima Cuantía</w:t>
      </w:r>
      <w:r w:rsidDel="00000000" w:rsidR="00000000" w:rsidRPr="00000000">
        <w:rPr>
          <w:rFonts w:ascii="Arial" w:cs="Arial" w:eastAsia="Arial" w:hAnsi="Arial"/>
          <w:color w:val="000000"/>
          <w:sz w:val="22"/>
          <w:szCs w:val="22"/>
          <w:rtl w:val="0"/>
        </w:rPr>
        <w:t xml:space="preserve">, de conformidad con la Ley 1150 de 2007, artículo 94 de la Ley 1474 de 2011 y el Decreto 1082 de 2015 y demás normas concordantes, por tratarse de un proceso cuyo presupuesto oficial no excede el 10% de la menor cuantía de la entidad. </w:t>
      </w:r>
    </w:p>
    <w:p w:rsidR="00000000" w:rsidDel="00000000" w:rsidP="00000000" w:rsidRDefault="00000000" w:rsidRPr="00000000" w14:paraId="0000038C">
      <w:pPr>
        <w:spacing w:after="120" w:lineRule="auto"/>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8D">
      <w:pPr>
        <w:spacing w:after="120" w:lineRule="auto"/>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Conforme lo anterior, la Entidad Estatal aceptará la oferta del proponente que haya cumplido con los requisitos de la Invitación Pública y que haya ofrecido el menor valor de conformidad con lo establecido en el numeral 6 del artículo 2.2.1.2.1.5.2. del decreto 1082 de 2015.</w:t>
      </w:r>
      <w:r w:rsidDel="00000000" w:rsidR="00000000" w:rsidRPr="00000000">
        <w:rPr>
          <w:rtl w:val="0"/>
        </w:rPr>
      </w:r>
    </w:p>
    <w:p w:rsidR="00000000" w:rsidDel="00000000" w:rsidP="00000000" w:rsidRDefault="00000000" w:rsidRPr="00000000" w14:paraId="0000038E">
      <w:pPr>
        <w:ind w:left="142" w:right="74" w:firstLine="0"/>
        <w:jc w:val="both"/>
        <w:rPr>
          <w:rFonts w:ascii="Arial" w:cs="Arial" w:eastAsia="Arial" w:hAnsi="Arial"/>
        </w:rPr>
      </w:pPr>
      <w:r w:rsidDel="00000000" w:rsidR="00000000" w:rsidRPr="00000000">
        <w:rPr>
          <w:rtl w:val="0"/>
        </w:rPr>
      </w:r>
    </w:p>
    <w:p w:rsidR="00000000" w:rsidDel="00000000" w:rsidP="00000000" w:rsidRDefault="00000000" w:rsidRPr="00000000" w14:paraId="0000038F">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ESTUDIO DE MERCADO</w:t>
      </w:r>
    </w:p>
    <w:p w:rsidR="00000000" w:rsidDel="00000000" w:rsidP="00000000" w:rsidRDefault="00000000" w:rsidRPr="00000000" w14:paraId="00000390">
      <w:pPr>
        <w:pBdr>
          <w:top w:space="0" w:sz="0" w:val="nil"/>
          <w:left w:space="0" w:sz="0" w:val="nil"/>
          <w:bottom w:space="0" w:sz="0" w:val="nil"/>
          <w:right w:space="0" w:sz="0" w:val="nil"/>
          <w:between w:space="0" w:sz="0" w:val="nil"/>
        </w:pBdr>
        <w:spacing w:line="276" w:lineRule="auto"/>
        <w:jc w:val="both"/>
        <w:rPr>
          <w:rFonts w:ascii="Arial" w:cs="Arial" w:eastAsia="Arial" w:hAnsi="Arial"/>
          <w:color w:val="000000"/>
          <w:sz w:val="22"/>
          <w:szCs w:val="22"/>
        </w:rPr>
      </w:pPr>
      <w:bookmarkStart w:colFirst="0" w:colLast="0" w:name="_xipbstn9iziu" w:id="1"/>
      <w:bookmarkEnd w:id="1"/>
      <w:r w:rsidDel="00000000" w:rsidR="00000000" w:rsidRPr="00000000">
        <w:rPr>
          <w:rFonts w:ascii="Arial" w:cs="Arial" w:eastAsia="Arial" w:hAnsi="Arial"/>
          <w:color w:val="000000"/>
          <w:sz w:val="22"/>
          <w:szCs w:val="22"/>
          <w:rtl w:val="0"/>
        </w:rPr>
        <w:t xml:space="preserve">Para identificar el precio del servicio a contratar se solicitó cotización dentro de los posibles oferentes que puedan cubrir la necesidad señalada, se publicó en el SECOP II el proceso de </w:t>
      </w:r>
      <w:r w:rsidDel="00000000" w:rsidR="00000000" w:rsidRPr="00000000">
        <w:rPr>
          <w:rFonts w:ascii="Arial" w:cs="Arial" w:eastAsia="Arial" w:hAnsi="Arial"/>
          <w:sz w:val="22"/>
          <w:szCs w:val="22"/>
          <w:rtl w:val="0"/>
        </w:rPr>
        <w:t xml:space="preserve">PRECOTIZACION-CALG-037-2025</w:t>
      </w:r>
      <w:r w:rsidDel="00000000" w:rsidR="00000000" w:rsidRPr="00000000">
        <w:rPr>
          <w:rFonts w:ascii="Arial" w:cs="Arial" w:eastAsia="Arial" w:hAnsi="Arial"/>
          <w:sz w:val="22"/>
          <w:szCs w:val="22"/>
          <w:highlight w:val="white"/>
          <w:rtl w:val="0"/>
        </w:rPr>
        <w:t xml:space="preserve">, </w:t>
      </w:r>
      <w:r w:rsidDel="00000000" w:rsidR="00000000" w:rsidRPr="00000000">
        <w:rPr>
          <w:rFonts w:ascii="Arial" w:cs="Arial" w:eastAsia="Arial" w:hAnsi="Arial"/>
          <w:sz w:val="22"/>
          <w:szCs w:val="22"/>
          <w:rtl w:val="0"/>
        </w:rPr>
        <w:t xml:space="preserve">por </w:t>
      </w:r>
      <w:r w:rsidDel="00000000" w:rsidR="00000000" w:rsidRPr="00000000">
        <w:rPr>
          <w:rFonts w:ascii="Arial" w:cs="Arial" w:eastAsia="Arial" w:hAnsi="Arial"/>
          <w:color w:val="000000"/>
          <w:sz w:val="22"/>
          <w:szCs w:val="22"/>
          <w:rtl w:val="0"/>
        </w:rPr>
        <w:t xml:space="preserve">tres días hábiles sin que se hubieran recibido cotizaciones, no obstante, la plataforma reportar 828</w:t>
      </w:r>
      <w:r w:rsidDel="00000000" w:rsidR="00000000" w:rsidRPr="00000000">
        <w:rPr>
          <w:rFonts w:ascii="Arial" w:cs="Arial" w:eastAsia="Arial" w:hAnsi="Arial"/>
          <w:color w:val="ff0000"/>
          <w:sz w:val="22"/>
          <w:szCs w:val="22"/>
          <w:rtl w:val="0"/>
        </w:rPr>
        <w:t xml:space="preserve"> </w:t>
      </w:r>
      <w:r w:rsidDel="00000000" w:rsidR="00000000" w:rsidRPr="00000000">
        <w:rPr>
          <w:rFonts w:ascii="Arial" w:cs="Arial" w:eastAsia="Arial" w:hAnsi="Arial"/>
          <w:color w:val="000000"/>
          <w:sz w:val="22"/>
          <w:szCs w:val="22"/>
          <w:rtl w:val="0"/>
        </w:rPr>
        <w:t xml:space="preserve">posibles proveedores de fumigación.</w:t>
      </w:r>
    </w:p>
    <w:p w:rsidR="00000000" w:rsidDel="00000000" w:rsidP="00000000" w:rsidRDefault="00000000" w:rsidRPr="00000000" w14:paraId="00000391">
      <w:pPr>
        <w:pBdr>
          <w:top w:space="0" w:sz="0" w:val="nil"/>
          <w:left w:space="0" w:sz="0" w:val="nil"/>
          <w:bottom w:space="0" w:sz="0" w:val="nil"/>
          <w:right w:space="0" w:sz="0" w:val="nil"/>
          <w:between w:space="0" w:sz="0" w:val="nil"/>
        </w:pBdr>
        <w:spacing w:line="276" w:lineRule="auto"/>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Pasado el tiempo procedimental no se recibieron Precotizaciones por parte de los interesados, a través de la Plataforma SECOP II de Colombia Compra Eficiente, como se evidencia a continuación:</w:t>
      </w:r>
    </w:p>
    <w:p w:rsidR="00000000" w:rsidDel="00000000" w:rsidP="00000000" w:rsidRDefault="00000000" w:rsidRPr="00000000" w14:paraId="00000393">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-86359</wp:posOffset>
            </wp:positionH>
            <wp:positionV relativeFrom="paragraph">
              <wp:posOffset>331470</wp:posOffset>
            </wp:positionV>
            <wp:extent cx="6440170" cy="1727835"/>
            <wp:effectExtent b="0" l="0" r="0" t="0"/>
            <wp:wrapTopAndBottom distB="0" distT="0"/>
            <wp:docPr id="1" name="image13.png"/>
            <a:graphic>
              <a:graphicData uri="http://schemas.openxmlformats.org/drawingml/2006/picture">
                <pic:pic>
                  <pic:nvPicPr>
                    <pic:cNvPr id="0" name="image13.png"/>
                    <pic:cNvPicPr preferRelativeResize="0"/>
                  </pic:nvPicPr>
                  <pic:blipFill>
                    <a:blip r:embed="rId22"/>
                    <a:srcRect b="0" l="0" r="0" t="0"/>
                    <a:stretch>
                      <a:fillRect/>
                    </a:stretch>
                  </pic:blipFill>
                  <pic:spPr>
                    <a:xfrm>
                      <a:off x="0" y="0"/>
                      <a:ext cx="6440170" cy="1727835"/>
                    </a:xfrm>
                    <a:prstGeom prst="rect"/>
                    <a:ln/>
                  </pic:spPr>
                </pic:pic>
              </a:graphicData>
            </a:graphic>
          </wp:anchor>
        </w:drawing>
      </w:r>
    </w:p>
    <w:p w:rsidR="00000000" w:rsidDel="00000000" w:rsidP="00000000" w:rsidRDefault="00000000" w:rsidRPr="00000000" w14:paraId="00000394">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0</wp:posOffset>
            </wp:positionH>
            <wp:positionV relativeFrom="paragraph">
              <wp:posOffset>1997268</wp:posOffset>
            </wp:positionV>
            <wp:extent cx="6392848" cy="1830041"/>
            <wp:effectExtent b="0" l="0" r="0" t="0"/>
            <wp:wrapNone/>
            <wp:docPr descr="Interfaz de usuario gráfica, Texto, Aplicación, Correo electrónico&#10;&#10;El contenido generado por IA puede ser incorrecto." id="3" name="image7.png"/>
            <a:graphic>
              <a:graphicData uri="http://schemas.openxmlformats.org/drawingml/2006/picture">
                <pic:pic>
                  <pic:nvPicPr>
                    <pic:cNvPr descr="Interfaz de usuario gráfica, Texto, Aplicación, Correo electrónico&#10;&#10;El contenido generado por IA puede ser incorrecto." id="0" name="image7.png"/>
                    <pic:cNvPicPr preferRelativeResize="0"/>
                  </pic:nvPicPr>
                  <pic:blipFill>
                    <a:blip r:embed="rId23"/>
                    <a:srcRect b="0" l="0" r="0" t="0"/>
                    <a:stretch>
                      <a:fillRect/>
                    </a:stretch>
                  </pic:blipFill>
                  <pic:spPr>
                    <a:xfrm>
                      <a:off x="0" y="0"/>
                      <a:ext cx="6392848" cy="1830041"/>
                    </a:xfrm>
                    <a:prstGeom prst="rect"/>
                    <a:ln/>
                  </pic:spPr>
                </pic:pic>
              </a:graphicData>
            </a:graphic>
          </wp:anchor>
        </w:drawing>
      </w:r>
    </w:p>
    <w:p w:rsidR="00000000" w:rsidDel="00000000" w:rsidP="00000000" w:rsidRDefault="00000000" w:rsidRPr="00000000" w14:paraId="00000395">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6">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7">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8">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9">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A">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B">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C">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D">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E">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F">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0">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1">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2">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0</wp:posOffset>
            </wp:positionH>
            <wp:positionV relativeFrom="paragraph">
              <wp:posOffset>55024</wp:posOffset>
            </wp:positionV>
            <wp:extent cx="6289860" cy="2913632"/>
            <wp:effectExtent b="0" l="0" r="0" t="0"/>
            <wp:wrapNone/>
            <wp:docPr descr="Interfaz de usuario gráfica, Texto, Aplicación&#10;&#10;El contenido generado por IA puede ser incorrecto." id="7" name="image16.png"/>
            <a:graphic>
              <a:graphicData uri="http://schemas.openxmlformats.org/drawingml/2006/picture">
                <pic:pic>
                  <pic:nvPicPr>
                    <pic:cNvPr descr="Interfaz de usuario gráfica, Texto, Aplicación&#10;&#10;El contenido generado por IA puede ser incorrecto." id="0" name="image16.png"/>
                    <pic:cNvPicPr preferRelativeResize="0"/>
                  </pic:nvPicPr>
                  <pic:blipFill>
                    <a:blip r:embed="rId24"/>
                    <a:srcRect b="0" l="0" r="0" t="0"/>
                    <a:stretch>
                      <a:fillRect/>
                    </a:stretch>
                  </pic:blipFill>
                  <pic:spPr>
                    <a:xfrm>
                      <a:off x="0" y="0"/>
                      <a:ext cx="6289860" cy="2913632"/>
                    </a:xfrm>
                    <a:prstGeom prst="rect"/>
                    <a:ln/>
                  </pic:spPr>
                </pic:pic>
              </a:graphicData>
            </a:graphic>
          </wp:anchor>
        </w:drawing>
      </w:r>
    </w:p>
    <w:p w:rsidR="00000000" w:rsidDel="00000000" w:rsidP="00000000" w:rsidRDefault="00000000" w:rsidRPr="00000000" w14:paraId="000003A3">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4">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5">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6">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7">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8">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9">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A">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B">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C">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D">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E">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F">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0">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1">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2">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0</wp:posOffset>
            </wp:positionH>
            <wp:positionV relativeFrom="paragraph">
              <wp:posOffset>72722</wp:posOffset>
            </wp:positionV>
            <wp:extent cx="6377340" cy="560669"/>
            <wp:effectExtent b="0" l="0" r="0" t="0"/>
            <wp:wrapNone/>
            <wp:docPr id="16" name="image19.png"/>
            <a:graphic>
              <a:graphicData uri="http://schemas.openxmlformats.org/drawingml/2006/picture">
                <pic:pic>
                  <pic:nvPicPr>
                    <pic:cNvPr id="0" name="image19.png"/>
                    <pic:cNvPicPr preferRelativeResize="0"/>
                  </pic:nvPicPr>
                  <pic:blipFill>
                    <a:blip r:embed="rId25"/>
                    <a:srcRect b="0" l="0" r="0" t="0"/>
                    <a:stretch>
                      <a:fillRect/>
                    </a:stretch>
                  </pic:blipFill>
                  <pic:spPr>
                    <a:xfrm>
                      <a:off x="0" y="0"/>
                      <a:ext cx="6377340" cy="560669"/>
                    </a:xfrm>
                    <a:prstGeom prst="rect"/>
                    <a:ln/>
                  </pic:spPr>
                </pic:pic>
              </a:graphicData>
            </a:graphic>
          </wp:anchor>
        </w:drawing>
      </w:r>
    </w:p>
    <w:p w:rsidR="00000000" w:rsidDel="00000000" w:rsidP="00000000" w:rsidRDefault="00000000" w:rsidRPr="00000000" w14:paraId="000003B3">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4">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5">
      <w:pPr>
        <w:pBdr>
          <w:top w:space="0" w:sz="0" w:val="nil"/>
          <w:left w:space="0" w:sz="0" w:val="nil"/>
          <w:bottom w:space="0" w:sz="0" w:val="nil"/>
          <w:right w:space="0" w:sz="0" w:val="nil"/>
          <w:between w:space="0" w:sz="0" w:val="nil"/>
        </w:pBd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6">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virtud de lo anterior se recurrió a solicitar cotizaciones a través de correo electrónico, obteniendo respuesta como se evidencia en la siguiente trazabilidad:</w:t>
      </w:r>
    </w:p>
    <w:p w:rsidR="00000000" w:rsidDel="00000000" w:rsidP="00000000" w:rsidRDefault="00000000" w:rsidRPr="00000000" w14:paraId="000003B7">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8">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Proveedor CENSERGECOL S.A.S.</w:t>
      </w:r>
    </w:p>
    <w:p w:rsidR="00000000" w:rsidDel="00000000" w:rsidP="00000000" w:rsidRDefault="00000000" w:rsidRPr="00000000" w14:paraId="000003B9">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A">
      <w:pPr>
        <w:jc w:val="both"/>
        <w:rPr>
          <w:rFonts w:ascii="Arial" w:cs="Arial" w:eastAsia="Arial" w:hAnsi="Arial"/>
          <w:sz w:val="22"/>
          <w:szCs w:val="22"/>
        </w:rPr>
      </w:pPr>
      <w:r w:rsidDel="00000000" w:rsidR="00000000" w:rsidRPr="00000000">
        <w:rPr/>
        <w:drawing>
          <wp:inline distB="0" distT="0" distL="0" distR="0">
            <wp:extent cx="5671185" cy="3188335"/>
            <wp:effectExtent b="0" l="0" r="0" t="0"/>
            <wp:docPr descr="Interfaz de usuario gráfica, Texto, Aplicación, Correo electrónico&#10;&#10;El contenido generado por IA puede ser incorrecto." id="29" name="image29.png"/>
            <a:graphic>
              <a:graphicData uri="http://schemas.openxmlformats.org/drawingml/2006/picture">
                <pic:pic>
                  <pic:nvPicPr>
                    <pic:cNvPr descr="Interfaz de usuario gráfica, Texto, Aplicación, Correo electrónico&#10;&#10;El contenido generado por IA puede ser incorrecto." id="0" name="image29.png"/>
                    <pic:cNvPicPr preferRelativeResize="0"/>
                  </pic:nvPicPr>
                  <pic:blipFill>
                    <a:blip r:embed="rId26"/>
                    <a:srcRect b="0" l="0" r="0" t="0"/>
                    <a:stretch>
                      <a:fillRect/>
                    </a:stretch>
                  </pic:blipFill>
                  <pic:spPr>
                    <a:xfrm>
                      <a:off x="0" y="0"/>
                      <a:ext cx="5671185" cy="3188335"/>
                    </a:xfrm>
                    <a:prstGeom prst="rect"/>
                    <a:ln/>
                  </pic:spPr>
                </pic:pic>
              </a:graphicData>
            </a:graphic>
          </wp:inline>
        </w:drawing>
      </w:r>
      <w:r w:rsidDel="00000000" w:rsidR="00000000" w:rsidRPr="00000000">
        <w:rPr>
          <w:rtl w:val="0"/>
        </w:rPr>
      </w:r>
    </w:p>
    <w:p w:rsidR="00000000" w:rsidDel="00000000" w:rsidP="00000000" w:rsidRDefault="00000000" w:rsidRPr="00000000" w14:paraId="000003BB">
      <w:pPr>
        <w:jc w:val="both"/>
        <w:rPr>
          <w:rFonts w:ascii="Arial" w:cs="Arial" w:eastAsia="Arial" w:hAnsi="Arial"/>
          <w:sz w:val="22"/>
          <w:szCs w:val="22"/>
        </w:rPr>
      </w:pPr>
      <w:r w:rsidDel="00000000" w:rsidR="00000000" w:rsidRPr="00000000">
        <w:rPr/>
        <w:drawing>
          <wp:inline distB="0" distT="0" distL="0" distR="0">
            <wp:extent cx="5671185" cy="3188335"/>
            <wp:effectExtent b="0" l="0" r="0" t="0"/>
            <wp:docPr descr="Interfaz de usuario gráfica, Texto, Aplicación, Correo electrónico&#10;&#10;El contenido generado por IA puede ser incorrecto." id="30" name="image26.png"/>
            <a:graphic>
              <a:graphicData uri="http://schemas.openxmlformats.org/drawingml/2006/picture">
                <pic:pic>
                  <pic:nvPicPr>
                    <pic:cNvPr descr="Interfaz de usuario gráfica, Texto, Aplicación, Correo electrónico&#10;&#10;El contenido generado por IA puede ser incorrecto." id="0" name="image26.png"/>
                    <pic:cNvPicPr preferRelativeResize="0"/>
                  </pic:nvPicPr>
                  <pic:blipFill>
                    <a:blip r:embed="rId27"/>
                    <a:srcRect b="0" l="0" r="0" t="0"/>
                    <a:stretch>
                      <a:fillRect/>
                    </a:stretch>
                  </pic:blipFill>
                  <pic:spPr>
                    <a:xfrm>
                      <a:off x="0" y="0"/>
                      <a:ext cx="5671185" cy="3188335"/>
                    </a:xfrm>
                    <a:prstGeom prst="rect"/>
                    <a:ln/>
                  </pic:spPr>
                </pic:pic>
              </a:graphicData>
            </a:graphic>
          </wp:inline>
        </w:drawing>
      </w:r>
      <w:r w:rsidDel="00000000" w:rsidR="00000000" w:rsidRPr="00000000">
        <w:rPr>
          <w:rtl w:val="0"/>
        </w:rPr>
      </w:r>
    </w:p>
    <w:p w:rsidR="00000000" w:rsidDel="00000000" w:rsidP="00000000" w:rsidRDefault="00000000" w:rsidRPr="00000000" w14:paraId="000003BC">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D">
      <w:pPr>
        <w:jc w:val="both"/>
        <w:rPr>
          <w:rFonts w:ascii="Arial" w:cs="Arial" w:eastAsia="Arial" w:hAnsi="Arial"/>
          <w:sz w:val="22"/>
          <w:szCs w:val="22"/>
        </w:rPr>
      </w:pPr>
      <w:r w:rsidDel="00000000" w:rsidR="00000000" w:rsidRPr="00000000">
        <w:rPr/>
        <w:drawing>
          <wp:inline distB="0" distT="0" distL="0" distR="0">
            <wp:extent cx="5671185" cy="3188335"/>
            <wp:effectExtent b="0" l="0" r="0" t="0"/>
            <wp:docPr descr="Interfaz de usuario gráfica, Texto, Aplicación, Correo electrónico&#10;&#10;El contenido generado por IA puede ser incorrecto." id="8" name="image20.png"/>
            <a:graphic>
              <a:graphicData uri="http://schemas.openxmlformats.org/drawingml/2006/picture">
                <pic:pic>
                  <pic:nvPicPr>
                    <pic:cNvPr descr="Interfaz de usuario gráfica, Texto, Aplicación, Correo electrónico&#10;&#10;El contenido generado por IA puede ser incorrecto." id="0" name="image20.png"/>
                    <pic:cNvPicPr preferRelativeResize="0"/>
                  </pic:nvPicPr>
                  <pic:blipFill>
                    <a:blip r:embed="rId28"/>
                    <a:srcRect b="0" l="0" r="0" t="0"/>
                    <a:stretch>
                      <a:fillRect/>
                    </a:stretch>
                  </pic:blipFill>
                  <pic:spPr>
                    <a:xfrm>
                      <a:off x="0" y="0"/>
                      <a:ext cx="5671185" cy="3188335"/>
                    </a:xfrm>
                    <a:prstGeom prst="rect"/>
                    <a:ln/>
                  </pic:spPr>
                </pic:pic>
              </a:graphicData>
            </a:graphic>
          </wp:inline>
        </w:drawing>
      </w:r>
      <w:r w:rsidDel="00000000" w:rsidR="00000000" w:rsidRPr="00000000">
        <w:rPr>
          <w:rtl w:val="0"/>
        </w:rPr>
      </w:r>
    </w:p>
    <w:p w:rsidR="00000000" w:rsidDel="00000000" w:rsidP="00000000" w:rsidRDefault="00000000" w:rsidRPr="00000000" w14:paraId="000003BE">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F">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0">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1">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2">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3">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4">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5">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Proveedor SERINTOL</w:t>
      </w:r>
    </w:p>
    <w:p w:rsidR="00000000" w:rsidDel="00000000" w:rsidP="00000000" w:rsidRDefault="00000000" w:rsidRPr="00000000" w14:paraId="000003C6">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7">
      <w:pPr>
        <w:jc w:val="both"/>
        <w:rPr>
          <w:rFonts w:ascii="Arial" w:cs="Arial" w:eastAsia="Arial" w:hAnsi="Arial"/>
          <w:sz w:val="22"/>
          <w:szCs w:val="22"/>
        </w:rPr>
      </w:pPr>
      <w:r w:rsidDel="00000000" w:rsidR="00000000" w:rsidRPr="00000000">
        <w:rPr/>
        <w:drawing>
          <wp:inline distB="0" distT="0" distL="0" distR="0">
            <wp:extent cx="5671185" cy="3188335"/>
            <wp:effectExtent b="0" l="0" r="0" t="0"/>
            <wp:docPr id="9" name="image6.png"/>
            <a:graphic>
              <a:graphicData uri="http://schemas.openxmlformats.org/drawingml/2006/picture">
                <pic:pic>
                  <pic:nvPicPr>
                    <pic:cNvPr id="0" name="image6.png"/>
                    <pic:cNvPicPr preferRelativeResize="0"/>
                  </pic:nvPicPr>
                  <pic:blipFill>
                    <a:blip r:embed="rId29"/>
                    <a:srcRect b="0" l="0" r="0" t="0"/>
                    <a:stretch>
                      <a:fillRect/>
                    </a:stretch>
                  </pic:blipFill>
                  <pic:spPr>
                    <a:xfrm>
                      <a:off x="0" y="0"/>
                      <a:ext cx="5671185" cy="3188335"/>
                    </a:xfrm>
                    <a:prstGeom prst="rect"/>
                    <a:ln/>
                  </pic:spPr>
                </pic:pic>
              </a:graphicData>
            </a:graphic>
          </wp:inline>
        </w:drawing>
      </w:r>
      <w:r w:rsidDel="00000000" w:rsidR="00000000" w:rsidRPr="00000000">
        <w:rPr>
          <w:rtl w:val="0"/>
        </w:rPr>
      </w:r>
    </w:p>
    <w:p w:rsidR="00000000" w:rsidDel="00000000" w:rsidP="00000000" w:rsidRDefault="00000000" w:rsidRPr="00000000" w14:paraId="000003C8">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9">
      <w:pPr>
        <w:jc w:val="both"/>
        <w:rPr>
          <w:rFonts w:ascii="Arial" w:cs="Arial" w:eastAsia="Arial" w:hAnsi="Arial"/>
          <w:sz w:val="22"/>
          <w:szCs w:val="22"/>
        </w:rPr>
      </w:pPr>
      <w:r w:rsidDel="00000000" w:rsidR="00000000" w:rsidRPr="00000000">
        <w:rPr/>
        <w:drawing>
          <wp:inline distB="0" distT="0" distL="0" distR="0">
            <wp:extent cx="5671185" cy="3188335"/>
            <wp:effectExtent b="0" l="0" r="0" t="0"/>
            <wp:docPr descr="Interfaz de usuario gráfica, Texto, Aplicación, Correo electrónico&#10;&#10;El contenido generado por IA puede ser incorrecto." id="10" name="image14.png"/>
            <a:graphic>
              <a:graphicData uri="http://schemas.openxmlformats.org/drawingml/2006/picture">
                <pic:pic>
                  <pic:nvPicPr>
                    <pic:cNvPr descr="Interfaz de usuario gráfica, Texto, Aplicación, Correo electrónico&#10;&#10;El contenido generado por IA puede ser incorrecto." id="0" name="image14.png"/>
                    <pic:cNvPicPr preferRelativeResize="0"/>
                  </pic:nvPicPr>
                  <pic:blipFill>
                    <a:blip r:embed="rId30"/>
                    <a:srcRect b="0" l="0" r="0" t="0"/>
                    <a:stretch>
                      <a:fillRect/>
                    </a:stretch>
                  </pic:blipFill>
                  <pic:spPr>
                    <a:xfrm>
                      <a:off x="0" y="0"/>
                      <a:ext cx="5671185" cy="3188335"/>
                    </a:xfrm>
                    <a:prstGeom prst="rect"/>
                    <a:ln/>
                  </pic:spPr>
                </pic:pic>
              </a:graphicData>
            </a:graphic>
          </wp:inline>
        </w:drawing>
      </w:r>
      <w:r w:rsidDel="00000000" w:rsidR="00000000" w:rsidRPr="00000000">
        <w:rPr>
          <w:rtl w:val="0"/>
        </w:rPr>
      </w:r>
    </w:p>
    <w:p w:rsidR="00000000" w:rsidDel="00000000" w:rsidP="00000000" w:rsidRDefault="00000000" w:rsidRPr="00000000" w14:paraId="000003CA">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B">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C">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D">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E">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Se procedió a verificar a los proponentes en el REGISTRO UNICO EMPRESARIAL Y SOCIAL RUES, así:</w:t>
      </w:r>
    </w:p>
    <w:p w:rsidR="00000000" w:rsidDel="00000000" w:rsidP="00000000" w:rsidRDefault="00000000" w:rsidRPr="00000000" w14:paraId="000003CF">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0">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Proveedor CENSERGECOL S.A.S.</w:t>
      </w:r>
    </w:p>
    <w:p w:rsidR="00000000" w:rsidDel="00000000" w:rsidP="00000000" w:rsidRDefault="00000000" w:rsidRPr="00000000" w14:paraId="000003D1">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2">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3">
      <w:pPr>
        <w:jc w:val="both"/>
        <w:rPr>
          <w:rFonts w:ascii="Arial" w:cs="Arial" w:eastAsia="Arial" w:hAnsi="Arial"/>
          <w:sz w:val="22"/>
          <w:szCs w:val="22"/>
        </w:rPr>
      </w:pPr>
      <w:r w:rsidDel="00000000" w:rsidR="00000000" w:rsidRPr="00000000">
        <w:rPr/>
        <w:drawing>
          <wp:inline distB="0" distT="0" distL="0" distR="0">
            <wp:extent cx="5671185" cy="3188335"/>
            <wp:effectExtent b="0" l="0" r="0" t="0"/>
            <wp:docPr id="11" name="image11.png"/>
            <a:graphic>
              <a:graphicData uri="http://schemas.openxmlformats.org/drawingml/2006/picture">
                <pic:pic>
                  <pic:nvPicPr>
                    <pic:cNvPr id="0" name="image11.png"/>
                    <pic:cNvPicPr preferRelativeResize="0"/>
                  </pic:nvPicPr>
                  <pic:blipFill>
                    <a:blip r:embed="rId31"/>
                    <a:srcRect b="0" l="0" r="0" t="0"/>
                    <a:stretch>
                      <a:fillRect/>
                    </a:stretch>
                  </pic:blipFill>
                  <pic:spPr>
                    <a:xfrm>
                      <a:off x="0" y="0"/>
                      <a:ext cx="5671185" cy="3188335"/>
                    </a:xfrm>
                    <a:prstGeom prst="rect"/>
                    <a:ln/>
                  </pic:spPr>
                </pic:pic>
              </a:graphicData>
            </a:graphic>
          </wp:inline>
        </w:drawing>
      </w:r>
      <w:r w:rsidDel="00000000" w:rsidR="00000000" w:rsidRPr="00000000">
        <w:rPr>
          <w:rtl w:val="0"/>
        </w:rPr>
      </w:r>
    </w:p>
    <w:p w:rsidR="00000000" w:rsidDel="00000000" w:rsidP="00000000" w:rsidRDefault="00000000" w:rsidRPr="00000000" w14:paraId="000003D4">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5">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6">
      <w:pPr>
        <w:jc w:val="both"/>
        <w:rPr>
          <w:rFonts w:ascii="Arial" w:cs="Arial" w:eastAsia="Arial" w:hAnsi="Arial"/>
          <w:sz w:val="22"/>
          <w:szCs w:val="22"/>
        </w:rPr>
      </w:pPr>
      <w:r w:rsidDel="00000000" w:rsidR="00000000" w:rsidRPr="00000000">
        <w:rPr/>
        <w:drawing>
          <wp:inline distB="0" distT="0" distL="0" distR="0">
            <wp:extent cx="5671185" cy="3188335"/>
            <wp:effectExtent b="0" l="0" r="0" t="0"/>
            <wp:docPr descr="Interfaz de usuario gráfica, Texto, Aplicación, Chat o mensaje de texto&#10;&#10;El contenido generado por IA puede ser incorrecto." id="12" name="image5.png"/>
            <a:graphic>
              <a:graphicData uri="http://schemas.openxmlformats.org/drawingml/2006/picture">
                <pic:pic>
                  <pic:nvPicPr>
                    <pic:cNvPr descr="Interfaz de usuario gráfica, Texto, Aplicación, Chat o mensaje de texto&#10;&#10;El contenido generado por IA puede ser incorrecto." id="0" name="image5.png"/>
                    <pic:cNvPicPr preferRelativeResize="0"/>
                  </pic:nvPicPr>
                  <pic:blipFill>
                    <a:blip r:embed="rId32"/>
                    <a:srcRect b="0" l="0" r="0" t="0"/>
                    <a:stretch>
                      <a:fillRect/>
                    </a:stretch>
                  </pic:blipFill>
                  <pic:spPr>
                    <a:xfrm>
                      <a:off x="0" y="0"/>
                      <a:ext cx="5671185" cy="3188335"/>
                    </a:xfrm>
                    <a:prstGeom prst="rect"/>
                    <a:ln/>
                  </pic:spPr>
                </pic:pic>
              </a:graphicData>
            </a:graphic>
          </wp:inline>
        </w:drawing>
      </w:r>
      <w:r w:rsidDel="00000000" w:rsidR="00000000" w:rsidRPr="00000000">
        <w:rPr>
          <w:rtl w:val="0"/>
        </w:rPr>
      </w:r>
    </w:p>
    <w:p w:rsidR="00000000" w:rsidDel="00000000" w:rsidP="00000000" w:rsidRDefault="00000000" w:rsidRPr="00000000" w14:paraId="000003D7">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Proveedor SERINTOL</w:t>
      </w:r>
    </w:p>
    <w:p w:rsidR="00000000" w:rsidDel="00000000" w:rsidP="00000000" w:rsidRDefault="00000000" w:rsidRPr="00000000" w14:paraId="000003D8">
      <w:pPr>
        <w:jc w:val="both"/>
        <w:rPr>
          <w:rFonts w:ascii="Arial" w:cs="Arial" w:eastAsia="Arial" w:hAnsi="Arial"/>
          <w:sz w:val="22"/>
          <w:szCs w:val="22"/>
        </w:rPr>
      </w:pPr>
      <w:r w:rsidDel="00000000" w:rsidR="00000000" w:rsidRPr="00000000">
        <w:rPr/>
        <w:drawing>
          <wp:inline distB="0" distT="0" distL="0" distR="0">
            <wp:extent cx="5671185" cy="3188335"/>
            <wp:effectExtent b="0" l="0" r="0" t="0"/>
            <wp:docPr id="13" name="image17.png"/>
            <a:graphic>
              <a:graphicData uri="http://schemas.openxmlformats.org/drawingml/2006/picture">
                <pic:pic>
                  <pic:nvPicPr>
                    <pic:cNvPr id="0" name="image17.png"/>
                    <pic:cNvPicPr preferRelativeResize="0"/>
                  </pic:nvPicPr>
                  <pic:blipFill>
                    <a:blip r:embed="rId33"/>
                    <a:srcRect b="0" l="0" r="0" t="0"/>
                    <a:stretch>
                      <a:fillRect/>
                    </a:stretch>
                  </pic:blipFill>
                  <pic:spPr>
                    <a:xfrm>
                      <a:off x="0" y="0"/>
                      <a:ext cx="5671185" cy="3188335"/>
                    </a:xfrm>
                    <a:prstGeom prst="rect"/>
                    <a:ln/>
                  </pic:spPr>
                </pic:pic>
              </a:graphicData>
            </a:graphic>
          </wp:inline>
        </w:drawing>
      </w:r>
      <w:r w:rsidDel="00000000" w:rsidR="00000000" w:rsidRPr="00000000">
        <w:rPr>
          <w:rtl w:val="0"/>
        </w:rPr>
      </w:r>
    </w:p>
    <w:p w:rsidR="00000000" w:rsidDel="00000000" w:rsidP="00000000" w:rsidRDefault="00000000" w:rsidRPr="00000000" w14:paraId="000003D9">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A">
      <w:pPr>
        <w:jc w:val="both"/>
        <w:rPr>
          <w:rFonts w:ascii="Arial" w:cs="Arial" w:eastAsia="Arial" w:hAnsi="Arial"/>
          <w:sz w:val="22"/>
          <w:szCs w:val="22"/>
        </w:rPr>
      </w:pPr>
      <w:r w:rsidDel="00000000" w:rsidR="00000000" w:rsidRPr="00000000">
        <w:rPr/>
        <w:drawing>
          <wp:inline distB="0" distT="0" distL="0" distR="0">
            <wp:extent cx="5671185" cy="3188335"/>
            <wp:effectExtent b="0" l="0" r="0" t="0"/>
            <wp:docPr descr="Interfaz de usuario gráfica, Texto, Aplicación&#10;&#10;El contenido generado por IA puede ser incorrecto." id="14" name="image28.png"/>
            <a:graphic>
              <a:graphicData uri="http://schemas.openxmlformats.org/drawingml/2006/picture">
                <pic:pic>
                  <pic:nvPicPr>
                    <pic:cNvPr descr="Interfaz de usuario gráfica, Texto, Aplicación&#10;&#10;El contenido generado por IA puede ser incorrecto." id="0" name="image28.png"/>
                    <pic:cNvPicPr preferRelativeResize="0"/>
                  </pic:nvPicPr>
                  <pic:blipFill>
                    <a:blip r:embed="rId34"/>
                    <a:srcRect b="0" l="0" r="0" t="0"/>
                    <a:stretch>
                      <a:fillRect/>
                    </a:stretch>
                  </pic:blipFill>
                  <pic:spPr>
                    <a:xfrm>
                      <a:off x="0" y="0"/>
                      <a:ext cx="5671185" cy="3188335"/>
                    </a:xfrm>
                    <a:prstGeom prst="rect"/>
                    <a:ln/>
                  </pic:spPr>
                </pic:pic>
              </a:graphicData>
            </a:graphic>
          </wp:inline>
        </w:drawing>
      </w:r>
      <w:r w:rsidDel="00000000" w:rsidR="00000000" w:rsidRPr="00000000">
        <w:rPr>
          <w:rtl w:val="0"/>
        </w:rPr>
      </w:r>
    </w:p>
    <w:p w:rsidR="00000000" w:rsidDel="00000000" w:rsidP="00000000" w:rsidRDefault="00000000" w:rsidRPr="00000000" w14:paraId="000003DB">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C">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Verificada esta información y contando con dos (2) precotizaciones, la entidad constituyó el estudio de mercado con los precios de los bienes que por este proceso está requiriendo contratar. </w:t>
      </w:r>
    </w:p>
    <w:p w:rsidR="00000000" w:rsidDel="00000000" w:rsidP="00000000" w:rsidRDefault="00000000" w:rsidRPr="00000000" w14:paraId="000003DD">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E">
      <w:pPr>
        <w:jc w:val="both"/>
        <w:rPr>
          <w:rFonts w:ascii="Arial" w:cs="Arial" w:eastAsia="Arial" w:hAnsi="Arial"/>
          <w:sz w:val="22"/>
          <w:szCs w:val="22"/>
        </w:rPr>
        <w:sectPr>
          <w:headerReference r:id="rId35" w:type="default"/>
          <w:footerReference r:id="rId36" w:type="default"/>
          <w:pgSz w:h="15842" w:w="12242" w:orient="portrait"/>
          <w:pgMar w:bottom="1134" w:top="1701" w:left="1701" w:right="1610" w:header="709" w:footer="227"/>
          <w:pgNumType w:start="1"/>
        </w:sectPr>
      </w:pPr>
      <w:r w:rsidDel="00000000" w:rsidR="00000000" w:rsidRPr="00000000">
        <w:rPr>
          <w:rFonts w:ascii="Arial" w:cs="Arial" w:eastAsia="Arial" w:hAnsi="Arial"/>
          <w:sz w:val="22"/>
          <w:szCs w:val="22"/>
          <w:rtl w:val="0"/>
        </w:rPr>
        <w:t xml:space="preserve">A continuación, se presenta el estudio de mercado resultado de las dos (2) cotizaciones:</w:t>
      </w:r>
    </w:p>
    <w:p w:rsidR="00000000" w:rsidDel="00000000" w:rsidP="00000000" w:rsidRDefault="00000000" w:rsidRPr="00000000" w14:paraId="000003DF">
      <w:pPr>
        <w:spacing w:line="276" w:lineRule="auto"/>
        <w:jc w:val="both"/>
        <w:rPr>
          <w:rFonts w:ascii="Arial" w:cs="Arial" w:eastAsia="Arial" w:hAnsi="Arial"/>
          <w:b w:val="1"/>
          <w:sz w:val="22"/>
          <w:szCs w:val="22"/>
        </w:rPr>
      </w:pPr>
      <w:r w:rsidDel="00000000" w:rsidR="00000000" w:rsidRPr="00000000">
        <w:rPr>
          <w:rFonts w:ascii="Arial" w:cs="Arial" w:eastAsia="Arial" w:hAnsi="Arial"/>
          <w:b w:val="1"/>
          <w:sz w:val="32"/>
          <w:szCs w:val="32"/>
          <w:highlight w:val="yellow"/>
          <w:rtl w:val="0"/>
        </w:rPr>
        <w:t xml:space="preserve">CUADRO ESTUDIO DE MERCADO</w:t>
      </w:r>
      <w:r w:rsidDel="00000000" w:rsidR="00000000" w:rsidRPr="00000000">
        <w:rPr>
          <w:rtl w:val="0"/>
        </w:rPr>
      </w:r>
    </w:p>
    <w:p w:rsidR="00000000" w:rsidDel="00000000" w:rsidP="00000000" w:rsidRDefault="00000000" w:rsidRPr="00000000" w14:paraId="000003E0">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1">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2">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3">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4">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5">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6">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7">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8">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9">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A">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B">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C">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D">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E">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F">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F0">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F1">
      <w:pPr>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F2">
      <w:pPr>
        <w:spacing w:line="276" w:lineRule="auto"/>
        <w:jc w:val="both"/>
        <w:rPr>
          <w:rFonts w:ascii="Arial" w:cs="Arial" w:eastAsia="Arial" w:hAnsi="Arial"/>
          <w:b w:val="1"/>
          <w:sz w:val="22"/>
          <w:szCs w:val="22"/>
        </w:rPr>
        <w:sectPr>
          <w:type w:val="nextPage"/>
          <w:pgSz w:h="12242" w:w="15842" w:orient="landscape"/>
          <w:pgMar w:bottom="1610" w:top="1701" w:left="1134" w:right="1701" w:header="709" w:footer="227"/>
          <w:pgNumType w:start="1"/>
        </w:sectPr>
      </w:pPr>
      <w:r w:rsidDel="00000000" w:rsidR="00000000" w:rsidRPr="00000000">
        <w:rPr>
          <w:rFonts w:ascii="Arial" w:cs="Arial" w:eastAsia="Arial" w:hAnsi="Arial"/>
          <w:b w:val="1"/>
          <w:sz w:val="22"/>
          <w:szCs w:val="22"/>
          <w:rtl w:val="0"/>
        </w:rPr>
        <w:t xml:space="preserve">El presente estudio de mercado hace parte integral del presente análisis del sector. </w:t>
      </w:r>
    </w:p>
    <w:p w:rsidR="00000000" w:rsidDel="00000000" w:rsidP="00000000" w:rsidRDefault="00000000" w:rsidRPr="00000000" w14:paraId="000003F3">
      <w:pPr>
        <w:spacing w:line="276" w:lineRule="auto"/>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3F4">
      <w:pPr>
        <w:jc w:val="both"/>
        <w:rPr>
          <w:rFonts w:ascii="Arial" w:cs="Arial" w:eastAsia="Arial" w:hAnsi="Arial"/>
          <w:b w:val="1"/>
          <w:color w:val="000000"/>
          <w:sz w:val="22"/>
          <w:szCs w:val="22"/>
        </w:rPr>
      </w:pPr>
      <w:r w:rsidDel="00000000" w:rsidR="00000000" w:rsidRPr="00000000">
        <w:rPr>
          <w:rFonts w:ascii="Arial" w:cs="Arial" w:eastAsia="Arial" w:hAnsi="Arial"/>
          <w:rtl w:val="0"/>
        </w:rPr>
        <w:t xml:space="preserve">En ese orden de ideas, el </w:t>
      </w:r>
      <w:r w:rsidDel="00000000" w:rsidR="00000000" w:rsidRPr="00000000">
        <w:rPr>
          <w:rFonts w:ascii="Arial" w:cs="Arial" w:eastAsia="Arial" w:hAnsi="Arial"/>
          <w:b w:val="1"/>
          <w:rtl w:val="0"/>
        </w:rPr>
        <w:t xml:space="preserve">Estudio de Mercado realizado a valores unitarios</w:t>
      </w:r>
      <w:r w:rsidDel="00000000" w:rsidR="00000000" w:rsidRPr="00000000">
        <w:rPr>
          <w:rFonts w:ascii="Arial" w:cs="Arial" w:eastAsia="Arial" w:hAnsi="Arial"/>
          <w:rtl w:val="0"/>
        </w:rPr>
        <w:t xml:space="preserve">, se obtuvo como presupuesto oficial para </w:t>
      </w:r>
      <w:r w:rsidDel="00000000" w:rsidR="00000000" w:rsidRPr="00000000">
        <w:rPr>
          <w:rFonts w:ascii="Arial Narrow" w:cs="Arial Narrow" w:eastAsia="Arial Narrow" w:hAnsi="Arial Narrow"/>
          <w:b w:val="1"/>
          <w:sz w:val="20"/>
          <w:szCs w:val="20"/>
          <w:rtl w:val="0"/>
        </w:rPr>
        <w:t xml:space="preserve">“</w:t>
      </w:r>
      <w:r w:rsidDel="00000000" w:rsidR="00000000" w:rsidRPr="00000000">
        <w:rPr>
          <w:rFonts w:ascii="Arial" w:cs="Arial" w:eastAsia="Arial" w:hAnsi="Arial"/>
          <w:b w:val="1"/>
          <w:rtl w:val="0"/>
        </w:rPr>
        <w:t xml:space="preserve">CONTRATAR EL MANTENIMIENTO PREVENTIVO Y CORRECTIVO A TODO COSTO DE LA PLANTA DE TRATAMIENTO DE AGUA POTABLE DEL CENTRO AGROPECUARIO LA GRANJA SENA EL ESPINAL – TOLIMA EN LA VIGENCIA 2025”</w:t>
      </w:r>
      <w:r w:rsidDel="00000000" w:rsidR="00000000" w:rsidRPr="00000000">
        <w:rPr>
          <w:rFonts w:ascii="Arial" w:cs="Arial" w:eastAsia="Arial" w:hAnsi="Arial"/>
          <w:color w:val="000000"/>
          <w:sz w:val="22"/>
          <w:szCs w:val="22"/>
          <w:rtl w:val="0"/>
        </w:rPr>
        <w:t xml:space="preserve"> por un valor total </w:t>
      </w:r>
      <w:r w:rsidDel="00000000" w:rsidR="00000000" w:rsidRPr="00000000">
        <w:rPr>
          <w:rFonts w:ascii="Arial" w:cs="Arial" w:eastAsia="Arial" w:hAnsi="Arial"/>
          <w:b w:val="1"/>
          <w:color w:val="000000"/>
          <w:sz w:val="22"/>
          <w:szCs w:val="22"/>
          <w:rtl w:val="0"/>
        </w:rPr>
        <w:t xml:space="preserve">de  XX MILLONES XX MIL XX PESOS ($XX) MONEDA CORRIENTE INCLUIDO  IVA.  </w:t>
      </w:r>
    </w:p>
    <w:p w:rsidR="00000000" w:rsidDel="00000000" w:rsidP="00000000" w:rsidRDefault="00000000" w:rsidRPr="00000000" w14:paraId="000003F5">
      <w:pPr>
        <w:jc w:val="both"/>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3F6">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Este valor incluye todos los gastos y costos en que incurra el oferente aceptado para la legalización y cumplimiento de la oferta aceptada, pago de impuestos y descuentos de Ley a que haya lugar, teniendo en cuenta el estudio del promedio de mercado a costo unitario.</w:t>
      </w:r>
    </w:p>
    <w:p w:rsidR="00000000" w:rsidDel="00000000" w:rsidP="00000000" w:rsidRDefault="00000000" w:rsidRPr="00000000" w14:paraId="000003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8">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PRESUPUESTO</w:t>
      </w:r>
    </w:p>
    <w:p w:rsidR="00000000" w:rsidDel="00000000" w:rsidP="00000000" w:rsidRDefault="00000000" w:rsidRPr="00000000" w14:paraId="000003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El presupuesto disponible para la presente contratación es la suma de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DOSCIENTOS MILLONES CINCO MIL PESOS ($200.000.000,00)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incluido IVA y todos los gastos y costos en que incurra el oferente; con cargo al Certificado de Disponibilidad Presupuestal NoXX</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del X de marzo de 2025.</w:t>
      </w:r>
    </w:p>
    <w:p w:rsidR="00000000" w:rsidDel="00000000" w:rsidP="00000000" w:rsidRDefault="00000000" w:rsidRPr="00000000" w14:paraId="000003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D">
      <w:pPr>
        <w:jc w:val="both"/>
        <w:rPr>
          <w:rFonts w:ascii="Arial" w:cs="Arial" w:eastAsia="Arial" w:hAnsi="Arial"/>
          <w:b w:val="1"/>
        </w:rPr>
      </w:pPr>
      <w:r w:rsidDel="00000000" w:rsidR="00000000" w:rsidRPr="00000000">
        <w:rPr>
          <w:rFonts w:ascii="Arial" w:cs="Arial" w:eastAsia="Arial" w:hAnsi="Arial"/>
          <w:b w:val="1"/>
          <w:highlight w:val="yellow"/>
          <w:rtl w:val="0"/>
        </w:rPr>
        <w:t xml:space="preserve">Dado que el valor resultante del estudio de mercado es superior al presupuesto disponible para la presente contratación, se tomó la determinación de priorizar las actividades que se describen a continuación:</w:t>
      </w:r>
      <w:r w:rsidDel="00000000" w:rsidR="00000000" w:rsidRPr="00000000">
        <w:rPr>
          <w:rtl w:val="0"/>
        </w:rPr>
      </w:r>
    </w:p>
    <w:p w:rsidR="00000000" w:rsidDel="00000000" w:rsidP="00000000" w:rsidRDefault="00000000" w:rsidRPr="00000000" w14:paraId="000003FE">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3FF">
      <w:pPr>
        <w:tabs>
          <w:tab w:val="left" w:leader="none" w:pos="0"/>
          <w:tab w:val="left" w:leader="none" w:pos="284"/>
        </w:tabs>
        <w:jc w:val="center"/>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400">
      <w:pPr>
        <w:tabs>
          <w:tab w:val="left" w:leader="none" w:pos="0"/>
          <w:tab w:val="left" w:leader="none" w:pos="284"/>
        </w:tabs>
        <w:jc w:val="center"/>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401">
      <w:pPr>
        <w:tabs>
          <w:tab w:val="left" w:leader="none" w:pos="0"/>
          <w:tab w:val="left" w:leader="none" w:pos="284"/>
        </w:tabs>
        <w:jc w:val="center"/>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402">
      <w:pPr>
        <w:tabs>
          <w:tab w:val="left" w:leader="none" w:pos="0"/>
          <w:tab w:val="left" w:leader="none" w:pos="284"/>
        </w:tabs>
        <w:jc w:val="center"/>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403">
      <w:pPr>
        <w:tabs>
          <w:tab w:val="left" w:leader="none" w:pos="0"/>
          <w:tab w:val="left" w:leader="none" w:pos="284"/>
        </w:tabs>
        <w:jc w:val="center"/>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404">
      <w:pPr>
        <w:tabs>
          <w:tab w:val="left" w:leader="none" w:pos="0"/>
          <w:tab w:val="left" w:leader="none" w:pos="284"/>
        </w:tabs>
        <w:jc w:val="center"/>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405">
      <w:pPr>
        <w:tabs>
          <w:tab w:val="left" w:leader="none" w:pos="0"/>
          <w:tab w:val="left" w:leader="none" w:pos="284"/>
        </w:tabs>
        <w:jc w:val="center"/>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406">
      <w:pPr>
        <w:tabs>
          <w:tab w:val="left" w:leader="none" w:pos="0"/>
          <w:tab w:val="left" w:leader="none" w:pos="284"/>
        </w:tabs>
        <w:jc w:val="both"/>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407">
      <w:pPr>
        <w:tabs>
          <w:tab w:val="left" w:leader="none" w:pos="0"/>
          <w:tab w:val="left" w:leader="none" w:pos="284"/>
        </w:tabs>
        <w:jc w:val="both"/>
        <w:rPr>
          <w:rFonts w:ascii="Arial" w:cs="Arial" w:eastAsia="Arial" w:hAnsi="Arial"/>
          <w:b w:val="1"/>
        </w:rPr>
      </w:pPr>
      <w:r w:rsidDel="00000000" w:rsidR="00000000" w:rsidRPr="00000000">
        <w:rPr>
          <w:rtl w:val="0"/>
        </w:rPr>
      </w:r>
    </w:p>
    <w:p w:rsidR="00000000" w:rsidDel="00000000" w:rsidP="00000000" w:rsidRDefault="00000000" w:rsidRPr="00000000" w14:paraId="00000408">
      <w:pPr>
        <w:tabs>
          <w:tab w:val="left" w:leader="none" w:pos="0"/>
          <w:tab w:val="left" w:leader="none" w:pos="284"/>
        </w:tabs>
        <w:jc w:val="both"/>
        <w:rPr>
          <w:rFonts w:ascii="Arial" w:cs="Arial" w:eastAsia="Arial" w:hAnsi="Arial"/>
          <w:b w:val="1"/>
        </w:rPr>
      </w:pPr>
      <w:r w:rsidDel="00000000" w:rsidR="00000000" w:rsidRPr="00000000">
        <w:rPr>
          <w:rtl w:val="0"/>
        </w:rPr>
      </w:r>
    </w:p>
    <w:p w:rsidR="00000000" w:rsidDel="00000000" w:rsidP="00000000" w:rsidRDefault="00000000" w:rsidRPr="00000000" w14:paraId="00000409">
      <w:pPr>
        <w:tabs>
          <w:tab w:val="left" w:leader="none" w:pos="0"/>
          <w:tab w:val="left" w:leader="none" w:pos="284"/>
        </w:tabs>
        <w:jc w:val="both"/>
        <w:rPr>
          <w:rFonts w:ascii="Arial" w:cs="Arial" w:eastAsia="Arial" w:hAnsi="Arial"/>
          <w:b w:val="1"/>
        </w:rPr>
      </w:pPr>
      <w:r w:rsidDel="00000000" w:rsidR="00000000" w:rsidRPr="00000000">
        <w:rPr>
          <w:rtl w:val="0"/>
        </w:rPr>
      </w:r>
    </w:p>
    <w:p w:rsidR="00000000" w:rsidDel="00000000" w:rsidP="00000000" w:rsidRDefault="00000000" w:rsidRPr="00000000" w14:paraId="0000040A">
      <w:pPr>
        <w:tabs>
          <w:tab w:val="left" w:leader="none" w:pos="0"/>
          <w:tab w:val="left" w:leader="none" w:pos="284"/>
        </w:tabs>
        <w:jc w:val="both"/>
        <w:rPr>
          <w:rFonts w:ascii="Arial" w:cs="Arial" w:eastAsia="Arial" w:hAnsi="Arial"/>
          <w:b w:val="1"/>
        </w:rPr>
      </w:pPr>
      <w:r w:rsidDel="00000000" w:rsidR="00000000" w:rsidRPr="00000000">
        <w:rPr>
          <w:rtl w:val="0"/>
        </w:rPr>
      </w:r>
    </w:p>
    <w:p w:rsidR="00000000" w:rsidDel="00000000" w:rsidP="00000000" w:rsidRDefault="00000000" w:rsidRPr="00000000" w14:paraId="0000040B">
      <w:pPr>
        <w:tabs>
          <w:tab w:val="left" w:leader="none" w:pos="0"/>
          <w:tab w:val="left" w:leader="none" w:pos="284"/>
        </w:tabs>
        <w:jc w:val="both"/>
        <w:rPr>
          <w:rFonts w:ascii="Arial" w:cs="Arial" w:eastAsia="Arial" w:hAnsi="Arial"/>
          <w:b w:val="1"/>
        </w:rPr>
      </w:pPr>
      <w:r w:rsidDel="00000000" w:rsidR="00000000" w:rsidRPr="00000000">
        <w:rPr>
          <w:rtl w:val="0"/>
        </w:rPr>
      </w:r>
    </w:p>
    <w:p w:rsidR="00000000" w:rsidDel="00000000" w:rsidP="00000000" w:rsidRDefault="00000000" w:rsidRPr="00000000" w14:paraId="0000040C">
      <w:pPr>
        <w:tabs>
          <w:tab w:val="left" w:leader="none" w:pos="0"/>
          <w:tab w:val="left" w:leader="none" w:pos="284"/>
        </w:tabs>
        <w:jc w:val="both"/>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40D">
      <w:pPr>
        <w:tabs>
          <w:tab w:val="left" w:leader="none" w:pos="0"/>
          <w:tab w:val="left" w:leader="none" w:pos="284"/>
        </w:tabs>
        <w:jc w:val="both"/>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40E">
      <w:pPr>
        <w:tabs>
          <w:tab w:val="left" w:leader="none" w:pos="0"/>
          <w:tab w:val="left" w:leader="none" w:pos="284"/>
        </w:tabs>
        <w:jc w:val="both"/>
        <w:rPr>
          <w:rFonts w:ascii="Arial" w:cs="Arial" w:eastAsia="Arial" w:hAnsi="Arial"/>
          <w:b w:val="1"/>
        </w:rPr>
      </w:pPr>
      <w:r w:rsidDel="00000000" w:rsidR="00000000" w:rsidRPr="00000000">
        <w:rPr>
          <w:rtl w:val="0"/>
        </w:rPr>
      </w:r>
    </w:p>
    <w:p w:rsidR="00000000" w:rsidDel="00000000" w:rsidP="00000000" w:rsidRDefault="00000000" w:rsidRPr="00000000" w14:paraId="0000040F">
      <w:pPr>
        <w:tabs>
          <w:tab w:val="left" w:leader="none" w:pos="0"/>
          <w:tab w:val="left" w:leader="none" w:pos="284"/>
        </w:tabs>
        <w:jc w:val="both"/>
        <w:rPr>
          <w:rFonts w:ascii="Arial" w:cs="Arial" w:eastAsia="Arial" w:hAnsi="Arial"/>
          <w:b w:val="1"/>
          <w:i w:val="1"/>
        </w:rPr>
      </w:pPr>
      <w:r w:rsidDel="00000000" w:rsidR="00000000" w:rsidRPr="00000000">
        <w:rPr>
          <w:rFonts w:ascii="Arial" w:cs="Arial" w:eastAsia="Arial" w:hAnsi="Arial"/>
          <w:b w:val="1"/>
          <w:rtl w:val="0"/>
        </w:rPr>
        <w:t xml:space="preserve">NOTA 1.</w:t>
      </w:r>
      <w:r w:rsidDel="00000000" w:rsidR="00000000" w:rsidRPr="00000000">
        <w:rPr>
          <w:rFonts w:ascii="Arial" w:cs="Arial" w:eastAsia="Arial" w:hAnsi="Arial"/>
          <w:b w:val="1"/>
          <w:i w:val="1"/>
          <w:rtl w:val="0"/>
        </w:rPr>
        <w:t xml:space="preserve"> </w:t>
      </w:r>
      <w:r w:rsidDel="00000000" w:rsidR="00000000" w:rsidRPr="00000000">
        <w:rPr>
          <w:rFonts w:ascii="Arial" w:cs="Arial" w:eastAsia="Arial" w:hAnsi="Arial"/>
          <w:rtl w:val="0"/>
        </w:rPr>
        <w:t xml:space="preserve">Los bienes por adquirir se pagarán con recursos del presupuesto del Centro Agropecuario La Granja, respaldado por el Certificado de Disponibilidad Presupuestal que antecede</w:t>
      </w:r>
      <w:r w:rsidDel="00000000" w:rsidR="00000000" w:rsidRPr="00000000">
        <w:rPr>
          <w:rFonts w:ascii="Arial" w:cs="Arial" w:eastAsia="Arial" w:hAnsi="Arial"/>
          <w:b w:val="1"/>
          <w:i w:val="1"/>
          <w:rtl w:val="0"/>
        </w:rPr>
        <w:t xml:space="preserve">.  </w:t>
      </w:r>
    </w:p>
    <w:p w:rsidR="00000000" w:rsidDel="00000000" w:rsidP="00000000" w:rsidRDefault="00000000" w:rsidRPr="00000000" w14:paraId="00000410">
      <w:pPr>
        <w:tabs>
          <w:tab w:val="left" w:leader="none" w:pos="0"/>
          <w:tab w:val="left" w:leader="none" w:pos="284"/>
        </w:tabs>
        <w:jc w:val="both"/>
        <w:rPr>
          <w:rFonts w:ascii="Arial" w:cs="Arial" w:eastAsia="Arial" w:hAnsi="Arial"/>
          <w:b w:val="1"/>
          <w:i w:val="1"/>
        </w:rPr>
      </w:pPr>
      <w:r w:rsidDel="00000000" w:rsidR="00000000" w:rsidRPr="00000000">
        <w:rPr>
          <w:rtl w:val="0"/>
        </w:rPr>
      </w:r>
    </w:p>
    <w:p w:rsidR="00000000" w:rsidDel="00000000" w:rsidP="00000000" w:rsidRDefault="00000000" w:rsidRPr="00000000" w14:paraId="00000411">
      <w:pPr>
        <w:jc w:val="both"/>
        <w:rPr>
          <w:rFonts w:ascii="Arial" w:cs="Arial" w:eastAsia="Arial" w:hAnsi="Arial"/>
          <w:b w:val="1"/>
        </w:rPr>
      </w:pPr>
      <w:r w:rsidDel="00000000" w:rsidR="00000000" w:rsidRPr="00000000">
        <w:rPr>
          <w:rFonts w:ascii="Arial" w:cs="Arial" w:eastAsia="Arial" w:hAnsi="Arial"/>
          <w:b w:val="1"/>
          <w:rtl w:val="0"/>
        </w:rPr>
        <w:t xml:space="preserve">NOTA 2.</w:t>
      </w:r>
      <w:r w:rsidDel="00000000" w:rsidR="00000000" w:rsidRPr="00000000">
        <w:rPr>
          <w:rFonts w:ascii="Arial" w:cs="Arial" w:eastAsia="Arial" w:hAnsi="Arial"/>
          <w:b w:val="1"/>
          <w:i w:val="1"/>
          <w:rtl w:val="0"/>
        </w:rPr>
        <w:t xml:space="preserve"> </w:t>
      </w:r>
      <w:r w:rsidDel="00000000" w:rsidR="00000000" w:rsidRPr="00000000">
        <w:rPr>
          <w:rFonts w:ascii="Arial" w:cs="Arial" w:eastAsia="Arial" w:hAnsi="Arial"/>
          <w:rtl w:val="0"/>
        </w:rPr>
        <w:t xml:space="preserve">La propuesta que supere el presupuesto oficial establecido para cada uno de los ítems o la totalidad de los ítems para el presente proceso será </w:t>
      </w:r>
      <w:r w:rsidDel="00000000" w:rsidR="00000000" w:rsidRPr="00000000">
        <w:rPr>
          <w:rFonts w:ascii="Arial" w:cs="Arial" w:eastAsia="Arial" w:hAnsi="Arial"/>
          <w:b w:val="1"/>
          <w:rtl w:val="0"/>
        </w:rPr>
        <w:t xml:space="preserve">RECHAZADA.</w:t>
      </w:r>
    </w:p>
    <w:p w:rsidR="00000000" w:rsidDel="00000000" w:rsidP="00000000" w:rsidRDefault="00000000" w:rsidRPr="00000000" w14:paraId="00000412">
      <w:pPr>
        <w:tabs>
          <w:tab w:val="left" w:leader="none" w:pos="0"/>
          <w:tab w:val="left" w:leader="none" w:pos="284"/>
        </w:tabs>
        <w:jc w:val="both"/>
        <w:rPr>
          <w:rFonts w:ascii="Arial" w:cs="Arial" w:eastAsia="Arial" w:hAnsi="Arial"/>
          <w:b w:val="1"/>
          <w:i w:val="1"/>
        </w:rPr>
      </w:pPr>
      <w:r w:rsidDel="00000000" w:rsidR="00000000" w:rsidRPr="00000000">
        <w:rPr>
          <w:rtl w:val="0"/>
        </w:rPr>
      </w:r>
    </w:p>
    <w:p w:rsidR="00000000" w:rsidDel="00000000" w:rsidP="00000000" w:rsidRDefault="00000000" w:rsidRPr="00000000" w14:paraId="00000413">
      <w:pPr>
        <w:tabs>
          <w:tab w:val="left" w:leader="none" w:pos="0"/>
          <w:tab w:val="left" w:leader="none" w:pos="284"/>
        </w:tabs>
        <w:jc w:val="both"/>
        <w:rPr>
          <w:rFonts w:ascii="Arial" w:cs="Arial" w:eastAsia="Arial" w:hAnsi="Arial"/>
          <w:b w:val="1"/>
        </w:rPr>
      </w:pPr>
      <w:r w:rsidDel="00000000" w:rsidR="00000000" w:rsidRPr="00000000">
        <w:rPr>
          <w:rFonts w:ascii="Arial" w:cs="Arial" w:eastAsia="Arial" w:hAnsi="Arial"/>
          <w:b w:val="1"/>
          <w:rtl w:val="0"/>
        </w:rPr>
        <w:t xml:space="preserve">NOTA 3.</w:t>
      </w:r>
      <w:r w:rsidDel="00000000" w:rsidR="00000000" w:rsidRPr="00000000">
        <w:rPr>
          <w:rFonts w:ascii="Arial" w:cs="Arial" w:eastAsia="Arial" w:hAnsi="Arial"/>
          <w:rtl w:val="0"/>
        </w:rPr>
        <w:t xml:space="preserve"> el proponente deberá tener en cuenta que el SENA Centro Agropecuario La Granja El Espinal</w:t>
      </w:r>
      <w:r w:rsidDel="00000000" w:rsidR="00000000" w:rsidRPr="00000000">
        <w:rPr>
          <w:rFonts w:ascii="Arial" w:cs="Arial" w:eastAsia="Arial" w:hAnsi="Arial"/>
          <w:b w:val="1"/>
          <w:rtl w:val="0"/>
        </w:rPr>
        <w:t xml:space="preserve">, adjudicará el proceso por la totalidad del presupuesto disponible</w:t>
      </w:r>
      <w:r w:rsidDel="00000000" w:rsidR="00000000" w:rsidRPr="00000000">
        <w:rPr>
          <w:rFonts w:ascii="Arial" w:cs="Arial" w:eastAsia="Arial" w:hAnsi="Arial"/>
          <w:rtl w:val="0"/>
        </w:rPr>
        <w:t xml:space="preserve">, por lo tanto, el adjudicatario deberá aceptar el </w:t>
      </w:r>
      <w:r w:rsidDel="00000000" w:rsidR="00000000" w:rsidRPr="00000000">
        <w:rPr>
          <w:rFonts w:ascii="Arial" w:cs="Arial" w:eastAsia="Arial" w:hAnsi="Arial"/>
          <w:b w:val="1"/>
          <w:rtl w:val="0"/>
        </w:rPr>
        <w:t xml:space="preserve">contrato por el 100% del presupuesto disponible.</w:t>
      </w:r>
    </w:p>
    <w:p w:rsidR="00000000" w:rsidDel="00000000" w:rsidP="00000000" w:rsidRDefault="00000000" w:rsidRPr="00000000" w14:paraId="000004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6">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i w:val="0"/>
          <w:smallCaps w:val="0"/>
          <w:strike w:val="0"/>
          <w:color w:val="000000"/>
          <w:sz w:val="22"/>
          <w:szCs w:val="22"/>
          <w:u w:val="none"/>
          <w:shd w:fill="auto" w:val="clear"/>
          <w:vertAlign w:val="baseline"/>
        </w:rPr>
      </w:pPr>
      <w:bookmarkStart w:colFirst="0" w:colLast="0" w:name="_hel5oqcr7p6d" w:id="2"/>
      <w:bookmarkEnd w:id="2"/>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ASPECTOS PRESUPUESTALES</w:t>
      </w:r>
    </w:p>
    <w:tbl>
      <w:tblPr>
        <w:tblStyle w:val="Table10"/>
        <w:tblpPr w:leftFromText="141" w:rightFromText="141" w:topFromText="0" w:bottomFromText="0" w:vertAnchor="text" w:horzAnchor="text" w:tblpX="0" w:tblpY="1"/>
        <w:tblW w:w="8828.0" w:type="dxa"/>
        <w:jc w:val="left"/>
        <w:tblBorders>
          <w:top w:color="a8d08d" w:space="0" w:sz="4" w:val="single"/>
          <w:left w:color="a8d08d" w:space="0" w:sz="4" w:val="single"/>
          <w:bottom w:color="a8d08d" w:space="0" w:sz="4" w:val="single"/>
          <w:right w:color="a8d08d" w:space="0" w:sz="4" w:val="single"/>
          <w:insideH w:color="a8d08d" w:space="0" w:sz="4" w:val="single"/>
          <w:insideV w:color="a8d08d" w:space="0" w:sz="4" w:val="single"/>
        </w:tblBorders>
        <w:tblLayout w:type="fixed"/>
        <w:tblLook w:val="0400"/>
      </w:tblPr>
      <w:tblGrid>
        <w:gridCol w:w="2183"/>
        <w:gridCol w:w="1403"/>
        <w:gridCol w:w="3146"/>
        <w:gridCol w:w="2096"/>
        <w:tblGridChange w:id="0">
          <w:tblGrid>
            <w:gridCol w:w="2183"/>
            <w:gridCol w:w="1403"/>
            <w:gridCol w:w="3146"/>
            <w:gridCol w:w="2096"/>
          </w:tblGrid>
        </w:tblGridChange>
      </w:tblGrid>
      <w:tr>
        <w:trPr>
          <w:cantSplit w:val="0"/>
          <w:trHeight w:val="235" w:hRule="atLeast"/>
          <w:tblHeader w:val="0"/>
        </w:trPr>
        <w:tc>
          <w:tcPr>
            <w:gridSpan w:val="4"/>
            <w:tcBorders>
              <w:top w:color="70ad47" w:space="0" w:sz="4" w:val="single"/>
              <w:left w:color="70ad47" w:space="0" w:sz="4" w:val="single"/>
              <w:bottom w:color="70ad47" w:space="0" w:sz="4" w:val="single"/>
              <w:right w:color="70ad47" w:space="0" w:sz="4" w:val="single"/>
            </w:tcBorders>
            <w:shd w:fill="70ad47" w:val="clear"/>
            <w:vAlign w:val="center"/>
          </w:tcPr>
          <w:p w:rsidR="00000000" w:rsidDel="00000000" w:rsidP="00000000" w:rsidRDefault="00000000" w:rsidRPr="00000000" w14:paraId="000004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RUBRO: </w:t>
            </w:r>
          </w:p>
        </w:tc>
      </w:tr>
      <w:tr>
        <w:trPr>
          <w:cantSplit w:val="0"/>
          <w:trHeight w:val="235" w:hRule="atLeast"/>
          <w:tblHeader w:val="0"/>
        </w:trPr>
        <w:tc>
          <w:tcPr>
            <w:shd w:fill="e2efd9" w:val="clear"/>
            <w:vAlign w:val="center"/>
          </w:tcPr>
          <w:p w:rsidR="00000000" w:rsidDel="00000000" w:rsidP="00000000" w:rsidRDefault="00000000" w:rsidRPr="00000000" w14:paraId="000004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PRESUPUESTO</w:t>
            </w:r>
          </w:p>
        </w:tc>
        <w:tc>
          <w:tcPr>
            <w:shd w:fill="e2efd9" w:val="clear"/>
            <w:vAlign w:val="center"/>
          </w:tcPr>
          <w:p w:rsidR="00000000" w:rsidDel="00000000" w:rsidP="00000000" w:rsidRDefault="00000000" w:rsidRPr="00000000" w14:paraId="000004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Indique con X</w:t>
            </w:r>
          </w:p>
        </w:tc>
        <w:tc>
          <w:tcPr>
            <w:shd w:fill="e2efd9" w:val="clear"/>
            <w:vAlign w:val="center"/>
          </w:tcPr>
          <w:p w:rsidR="00000000" w:rsidDel="00000000" w:rsidP="00000000" w:rsidRDefault="00000000" w:rsidRPr="00000000" w14:paraId="000004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RUBRO</w:t>
            </w:r>
          </w:p>
        </w:tc>
        <w:tc>
          <w:tcPr>
            <w:shd w:fill="e2efd9" w:val="clear"/>
            <w:vAlign w:val="center"/>
          </w:tcPr>
          <w:p w:rsidR="00000000" w:rsidDel="00000000" w:rsidP="00000000" w:rsidRDefault="00000000" w:rsidRPr="00000000" w14:paraId="000004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VALOR</w:t>
            </w:r>
          </w:p>
        </w:tc>
      </w:tr>
      <w:tr>
        <w:trPr>
          <w:cantSplit w:val="0"/>
          <w:trHeight w:val="314" w:hRule="atLeast"/>
          <w:tblHeader w:val="0"/>
        </w:trPr>
        <w:tc>
          <w:tcPr>
            <w:shd w:fill="auto" w:val="clear"/>
          </w:tcPr>
          <w:p w:rsidR="00000000" w:rsidDel="00000000" w:rsidP="00000000" w:rsidRDefault="00000000" w:rsidRPr="00000000" w14:paraId="000004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Fonts w:ascii="Arial" w:cs="Arial" w:eastAsia="Arial" w:hAnsi="Arial"/>
                <w:b w:val="1"/>
                <w:i w:val="0"/>
                <w:smallCaps w:val="0"/>
                <w:strike w:val="0"/>
                <w:color w:val="000000"/>
                <w:sz w:val="18"/>
                <w:szCs w:val="18"/>
                <w:highlight w:val="yellow"/>
                <w:u w:val="none"/>
                <w:vertAlign w:val="baseline"/>
                <w:rtl w:val="0"/>
              </w:rPr>
              <w:t xml:space="preserve">Inversión</w:t>
            </w:r>
          </w:p>
        </w:tc>
        <w:tc>
          <w:tcPr>
            <w:shd w:fill="auto" w:val="clear"/>
            <w:vAlign w:val="center"/>
          </w:tcPr>
          <w:p w:rsidR="00000000" w:rsidDel="00000000" w:rsidP="00000000" w:rsidRDefault="00000000" w:rsidRPr="00000000" w14:paraId="000004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Fonts w:ascii="Arial" w:cs="Arial" w:eastAsia="Arial" w:hAnsi="Arial"/>
                <w:b w:val="0"/>
                <w:i w:val="0"/>
                <w:smallCaps w:val="0"/>
                <w:strike w:val="0"/>
                <w:color w:val="000000"/>
                <w:sz w:val="18"/>
                <w:szCs w:val="18"/>
                <w:highlight w:val="yellow"/>
                <w:u w:val="none"/>
                <w:vertAlign w:val="baseline"/>
                <w:rtl w:val="0"/>
              </w:rPr>
              <w:t xml:space="preserve">X</w:t>
            </w:r>
          </w:p>
        </w:tc>
        <w:tc>
          <w:tcPr>
            <w:shd w:fill="auto" w:val="clear"/>
            <w:vAlign w:val="center"/>
          </w:tcPr>
          <w:p w:rsidR="00000000" w:rsidDel="00000000" w:rsidP="00000000" w:rsidRDefault="00000000" w:rsidRPr="00000000" w14:paraId="00000421">
            <w:pPr>
              <w:jc w:val="both"/>
              <w:rPr>
                <w:rFonts w:ascii="Arial" w:cs="Arial" w:eastAsia="Arial" w:hAnsi="Arial"/>
                <w:color w:val="000000"/>
                <w:sz w:val="18"/>
                <w:szCs w:val="18"/>
                <w:highlight w:val="yellow"/>
              </w:rPr>
            </w:pPr>
            <w:r w:rsidDel="00000000" w:rsidR="00000000" w:rsidRPr="00000000">
              <w:rPr>
                <w:rFonts w:ascii="Arial" w:cs="Arial" w:eastAsia="Arial" w:hAnsi="Arial"/>
                <w:color w:val="000000"/>
                <w:sz w:val="16"/>
                <w:szCs w:val="16"/>
                <w:highlight w:val="yellow"/>
                <w:rtl w:val="0"/>
              </w:rPr>
              <w:t xml:space="preserve">C-3699-1300-15-53105B-3699016-02</w:t>
            </w:r>
            <w:r w:rsidDel="00000000" w:rsidR="00000000" w:rsidRPr="00000000">
              <w:rPr>
                <w:rtl w:val="0"/>
              </w:rPr>
            </w:r>
          </w:p>
        </w:tc>
        <w:tc>
          <w:tcPr>
            <w:shd w:fill="auto" w:val="clear"/>
            <w:vAlign w:val="center"/>
          </w:tcPr>
          <w:p w:rsidR="00000000" w:rsidDel="00000000" w:rsidP="00000000" w:rsidRDefault="00000000" w:rsidRPr="00000000" w14:paraId="000004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Fonts w:ascii="Arial" w:cs="Arial" w:eastAsia="Arial" w:hAnsi="Arial"/>
                <w:b w:val="0"/>
                <w:i w:val="0"/>
                <w:smallCaps w:val="0"/>
                <w:strike w:val="0"/>
                <w:color w:val="000000"/>
                <w:sz w:val="18"/>
                <w:szCs w:val="18"/>
                <w:highlight w:val="yellow"/>
                <w:u w:val="none"/>
                <w:vertAlign w:val="baseline"/>
                <w:rtl w:val="0"/>
              </w:rPr>
              <w:t xml:space="preserve">$200.000.000</w:t>
            </w:r>
          </w:p>
        </w:tc>
      </w:tr>
      <w:tr>
        <w:trPr>
          <w:cantSplit w:val="0"/>
          <w:trHeight w:val="314" w:hRule="atLeast"/>
          <w:tblHeader w:val="0"/>
        </w:trPr>
        <w:tc>
          <w:tcPr>
            <w:shd w:fill="auto" w:val="clear"/>
          </w:tcPr>
          <w:p w:rsidR="00000000" w:rsidDel="00000000" w:rsidP="00000000" w:rsidRDefault="00000000" w:rsidRPr="00000000" w14:paraId="000004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tl w:val="0"/>
              </w:rPr>
            </w:r>
          </w:p>
        </w:tc>
        <w:tc>
          <w:tcPr>
            <w:shd w:fill="auto" w:val="clear"/>
            <w:vAlign w:val="center"/>
          </w:tcPr>
          <w:p w:rsidR="00000000" w:rsidDel="00000000" w:rsidP="00000000" w:rsidRDefault="00000000" w:rsidRPr="00000000" w14:paraId="000004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tl w:val="0"/>
              </w:rPr>
            </w:r>
          </w:p>
        </w:tc>
        <w:tc>
          <w:tcPr>
            <w:shd w:fill="auto" w:val="clear"/>
            <w:vAlign w:val="center"/>
          </w:tcPr>
          <w:p w:rsidR="00000000" w:rsidDel="00000000" w:rsidP="00000000" w:rsidRDefault="00000000" w:rsidRPr="00000000" w14:paraId="00000425">
            <w:pPr>
              <w:jc w:val="both"/>
              <w:rPr>
                <w:rFonts w:ascii="Arial" w:cs="Arial" w:eastAsia="Arial" w:hAnsi="Arial"/>
                <w:color w:val="000000"/>
                <w:sz w:val="18"/>
                <w:szCs w:val="18"/>
                <w:highlight w:val="yellow"/>
              </w:rPr>
            </w:pPr>
            <w:r w:rsidDel="00000000" w:rsidR="00000000" w:rsidRPr="00000000">
              <w:rPr>
                <w:rtl w:val="0"/>
              </w:rPr>
            </w:r>
          </w:p>
        </w:tc>
        <w:tc>
          <w:tcPr>
            <w:shd w:fill="auto" w:val="clear"/>
            <w:vAlign w:val="center"/>
          </w:tcPr>
          <w:p w:rsidR="00000000" w:rsidDel="00000000" w:rsidP="00000000" w:rsidRDefault="00000000" w:rsidRPr="00000000" w14:paraId="000004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tl w:val="0"/>
              </w:rPr>
            </w:r>
          </w:p>
        </w:tc>
      </w:tr>
    </w:tbl>
    <w:p w:rsidR="00000000" w:rsidDel="00000000" w:rsidP="00000000" w:rsidRDefault="00000000" w:rsidRPr="00000000" w14:paraId="00000427">
      <w:pPr>
        <w:jc w:val="both"/>
        <w:rPr>
          <w:rFonts w:ascii="Arial" w:cs="Arial" w:eastAsia="Arial" w:hAnsi="Arial"/>
          <w:b w:val="1"/>
          <w:color w:val="000000"/>
          <w:sz w:val="18"/>
          <w:szCs w:val="18"/>
          <w:highlight w:val="yellow"/>
        </w:rPr>
      </w:pPr>
      <w:r w:rsidDel="00000000" w:rsidR="00000000" w:rsidRPr="00000000">
        <w:rPr>
          <w:rtl w:val="0"/>
        </w:rPr>
      </w:r>
    </w:p>
    <w:tbl>
      <w:tblPr>
        <w:tblStyle w:val="Table11"/>
        <w:tblW w:w="10915.0" w:type="dxa"/>
        <w:jc w:val="left"/>
        <w:tblInd w:w="-1139.0" w:type="dxa"/>
        <w:tblBorders>
          <w:top w:color="a8d08d" w:space="0" w:sz="4" w:val="single"/>
          <w:left w:color="a8d08d" w:space="0" w:sz="4" w:val="single"/>
          <w:bottom w:color="a8d08d" w:space="0" w:sz="4" w:val="single"/>
          <w:right w:color="a8d08d" w:space="0" w:sz="4" w:val="single"/>
          <w:insideH w:color="a8d08d" w:space="0" w:sz="4" w:val="single"/>
          <w:insideV w:color="a8d08d" w:space="0" w:sz="4" w:val="single"/>
        </w:tblBorders>
        <w:tblLayout w:type="fixed"/>
        <w:tblLook w:val="0000"/>
      </w:tblPr>
      <w:tblGrid>
        <w:gridCol w:w="1134"/>
        <w:gridCol w:w="1134"/>
        <w:gridCol w:w="1276"/>
        <w:gridCol w:w="1418"/>
        <w:gridCol w:w="1559"/>
        <w:gridCol w:w="992"/>
        <w:gridCol w:w="1701"/>
        <w:gridCol w:w="1701"/>
        <w:tblGridChange w:id="0">
          <w:tblGrid>
            <w:gridCol w:w="1134"/>
            <w:gridCol w:w="1134"/>
            <w:gridCol w:w="1276"/>
            <w:gridCol w:w="1418"/>
            <w:gridCol w:w="1559"/>
            <w:gridCol w:w="992"/>
            <w:gridCol w:w="1701"/>
            <w:gridCol w:w="1701"/>
          </w:tblGrid>
        </w:tblGridChange>
      </w:tblGrid>
      <w:tr>
        <w:trPr>
          <w:cantSplit w:val="0"/>
          <w:trHeight w:val="1277" w:hRule="atLeast"/>
          <w:tblHeader w:val="0"/>
        </w:trPr>
        <w:tc>
          <w:tcPr>
            <w:shd w:fill="e2efd9" w:val="clear"/>
            <w:vAlign w:val="center"/>
          </w:tcPr>
          <w:p w:rsidR="00000000" w:rsidDel="00000000" w:rsidP="00000000" w:rsidRDefault="00000000" w:rsidRPr="00000000" w14:paraId="000004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Fonts w:ascii="Arial" w:cs="Arial" w:eastAsia="Arial" w:hAnsi="Arial"/>
                <w:b w:val="1"/>
                <w:i w:val="0"/>
                <w:smallCaps w:val="0"/>
                <w:strike w:val="0"/>
                <w:color w:val="000000"/>
                <w:sz w:val="18"/>
                <w:szCs w:val="18"/>
                <w:highlight w:val="yellow"/>
                <w:u w:val="none"/>
                <w:vertAlign w:val="baseline"/>
                <w:rtl w:val="0"/>
              </w:rPr>
              <w:t xml:space="preserve">Nro. de CDP o Vigencia Futura</w:t>
            </w:r>
          </w:p>
        </w:tc>
        <w:tc>
          <w:tcPr>
            <w:shd w:fill="e2efd9" w:val="clear"/>
            <w:vAlign w:val="center"/>
          </w:tcPr>
          <w:p w:rsidR="00000000" w:rsidDel="00000000" w:rsidP="00000000" w:rsidRDefault="00000000" w:rsidRPr="00000000" w14:paraId="000004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Fonts w:ascii="Arial" w:cs="Arial" w:eastAsia="Arial" w:hAnsi="Arial"/>
                <w:b w:val="1"/>
                <w:i w:val="0"/>
                <w:smallCaps w:val="0"/>
                <w:strike w:val="0"/>
                <w:color w:val="000000"/>
                <w:sz w:val="18"/>
                <w:szCs w:val="18"/>
                <w:highlight w:val="yellow"/>
                <w:u w:val="none"/>
                <w:vertAlign w:val="baseline"/>
                <w:rtl w:val="0"/>
              </w:rPr>
              <w:t xml:space="preserve">Fecha de CDP o Vigencia Futura</w:t>
            </w:r>
          </w:p>
        </w:tc>
        <w:tc>
          <w:tcPr>
            <w:shd w:fill="e2efd9" w:val="clear"/>
            <w:vAlign w:val="center"/>
          </w:tcPr>
          <w:p w:rsidR="00000000" w:rsidDel="00000000" w:rsidP="00000000" w:rsidRDefault="00000000" w:rsidRPr="00000000" w14:paraId="000004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Fonts w:ascii="Arial" w:cs="Arial" w:eastAsia="Arial" w:hAnsi="Arial"/>
                <w:b w:val="1"/>
                <w:i w:val="0"/>
                <w:smallCaps w:val="0"/>
                <w:strike w:val="0"/>
                <w:color w:val="000000"/>
                <w:sz w:val="18"/>
                <w:szCs w:val="18"/>
                <w:highlight w:val="yellow"/>
                <w:u w:val="none"/>
                <w:vertAlign w:val="baseline"/>
                <w:rtl w:val="0"/>
              </w:rPr>
              <w:t xml:space="preserve">Fecha de vencimiento del CDP</w:t>
            </w:r>
          </w:p>
        </w:tc>
        <w:tc>
          <w:tcPr>
            <w:shd w:fill="e2efd9" w:val="clear"/>
            <w:vAlign w:val="center"/>
          </w:tcPr>
          <w:p w:rsidR="00000000" w:rsidDel="00000000" w:rsidP="00000000" w:rsidRDefault="00000000" w:rsidRPr="00000000" w14:paraId="000004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Fonts w:ascii="Arial" w:cs="Arial" w:eastAsia="Arial" w:hAnsi="Arial"/>
                <w:b w:val="1"/>
                <w:i w:val="0"/>
                <w:smallCaps w:val="0"/>
                <w:strike w:val="0"/>
                <w:color w:val="000000"/>
                <w:sz w:val="18"/>
                <w:szCs w:val="18"/>
                <w:highlight w:val="yellow"/>
                <w:u w:val="none"/>
                <w:vertAlign w:val="baseline"/>
                <w:rtl w:val="0"/>
              </w:rPr>
              <w:t xml:space="preserve">Dependencia</w:t>
            </w:r>
          </w:p>
          <w:p w:rsidR="00000000" w:rsidDel="00000000" w:rsidP="00000000" w:rsidRDefault="00000000" w:rsidRPr="00000000" w14:paraId="000004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tl w:val="0"/>
              </w:rPr>
            </w:r>
          </w:p>
        </w:tc>
        <w:tc>
          <w:tcPr>
            <w:shd w:fill="e2efd9" w:val="clear"/>
            <w:vAlign w:val="center"/>
          </w:tcPr>
          <w:p w:rsidR="00000000" w:rsidDel="00000000" w:rsidP="00000000" w:rsidRDefault="00000000" w:rsidRPr="00000000" w14:paraId="000004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Fonts w:ascii="Arial" w:cs="Arial" w:eastAsia="Arial" w:hAnsi="Arial"/>
                <w:b w:val="1"/>
                <w:i w:val="0"/>
                <w:smallCaps w:val="0"/>
                <w:strike w:val="0"/>
                <w:color w:val="000000"/>
                <w:sz w:val="18"/>
                <w:szCs w:val="18"/>
                <w:highlight w:val="yellow"/>
                <w:u w:val="none"/>
                <w:vertAlign w:val="baseline"/>
                <w:rtl w:val="0"/>
              </w:rPr>
              <w:t xml:space="preserve">Posición Catálogo de Gasto</w:t>
            </w:r>
          </w:p>
        </w:tc>
        <w:tc>
          <w:tcPr>
            <w:shd w:fill="e2efd9" w:val="clear"/>
            <w:vAlign w:val="center"/>
          </w:tcPr>
          <w:p w:rsidR="00000000" w:rsidDel="00000000" w:rsidP="00000000" w:rsidRDefault="00000000" w:rsidRPr="00000000" w14:paraId="000004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Fonts w:ascii="Arial" w:cs="Arial" w:eastAsia="Arial" w:hAnsi="Arial"/>
                <w:b w:val="1"/>
                <w:i w:val="0"/>
                <w:smallCaps w:val="0"/>
                <w:strike w:val="0"/>
                <w:color w:val="000000"/>
                <w:sz w:val="18"/>
                <w:szCs w:val="18"/>
                <w:highlight w:val="yellow"/>
                <w:u w:val="none"/>
                <w:vertAlign w:val="baseline"/>
                <w:rtl w:val="0"/>
              </w:rPr>
              <w:t xml:space="preserve">Fuente</w:t>
            </w:r>
          </w:p>
          <w:p w:rsidR="00000000" w:rsidDel="00000000" w:rsidP="00000000" w:rsidRDefault="00000000" w:rsidRPr="00000000" w14:paraId="000004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tl w:val="0"/>
              </w:rPr>
            </w:r>
          </w:p>
        </w:tc>
        <w:tc>
          <w:tcPr>
            <w:shd w:fill="e2efd9" w:val="clear"/>
            <w:vAlign w:val="center"/>
          </w:tcPr>
          <w:p w:rsidR="00000000" w:rsidDel="00000000" w:rsidP="00000000" w:rsidRDefault="00000000" w:rsidRPr="00000000" w14:paraId="000004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Fonts w:ascii="Arial" w:cs="Arial" w:eastAsia="Arial" w:hAnsi="Arial"/>
                <w:b w:val="1"/>
                <w:i w:val="0"/>
                <w:smallCaps w:val="0"/>
                <w:strike w:val="0"/>
                <w:color w:val="000000"/>
                <w:sz w:val="18"/>
                <w:szCs w:val="18"/>
                <w:highlight w:val="yellow"/>
                <w:u w:val="none"/>
                <w:vertAlign w:val="baseline"/>
                <w:rtl w:val="0"/>
              </w:rPr>
              <w:t xml:space="preserve">Valor en Letras</w:t>
            </w:r>
          </w:p>
          <w:p w:rsidR="00000000" w:rsidDel="00000000" w:rsidP="00000000" w:rsidRDefault="00000000" w:rsidRPr="00000000" w14:paraId="000004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tl w:val="0"/>
              </w:rPr>
            </w:r>
          </w:p>
        </w:tc>
        <w:tc>
          <w:tcPr>
            <w:shd w:fill="e2efd9" w:val="clear"/>
            <w:vAlign w:val="center"/>
          </w:tcPr>
          <w:p w:rsidR="00000000" w:rsidDel="00000000" w:rsidP="00000000" w:rsidRDefault="00000000" w:rsidRPr="00000000" w14:paraId="000004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18"/>
                <w:szCs w:val="18"/>
                <w:highlight w:val="yellow"/>
                <w:u w:val="none"/>
                <w:vertAlign w:val="baseline"/>
              </w:rPr>
            </w:pPr>
            <w:r w:rsidDel="00000000" w:rsidR="00000000" w:rsidRPr="00000000">
              <w:rPr>
                <w:rFonts w:ascii="Arial" w:cs="Arial" w:eastAsia="Arial" w:hAnsi="Arial"/>
                <w:b w:val="1"/>
                <w:i w:val="0"/>
                <w:smallCaps w:val="0"/>
                <w:strike w:val="0"/>
                <w:color w:val="000000"/>
                <w:sz w:val="18"/>
                <w:szCs w:val="18"/>
                <w:highlight w:val="yellow"/>
                <w:u w:val="none"/>
                <w:vertAlign w:val="baseline"/>
                <w:rtl w:val="0"/>
              </w:rPr>
              <w:t xml:space="preserve">Valor en Números.</w:t>
            </w:r>
          </w:p>
        </w:tc>
      </w:tr>
      <w:tr>
        <w:trPr>
          <w:cantSplit w:val="0"/>
          <w:trHeight w:val="1049" w:hRule="atLeast"/>
          <w:tblHeader w:val="0"/>
        </w:trPr>
        <w:tc>
          <w:tcPr>
            <w:shd w:fill="e2efd9" w:val="clear"/>
            <w:vAlign w:val="center"/>
          </w:tcPr>
          <w:p w:rsidR="00000000" w:rsidDel="00000000" w:rsidP="00000000" w:rsidRDefault="00000000" w:rsidRPr="00000000" w14:paraId="000004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Fonts w:ascii="Arial" w:cs="Arial" w:eastAsia="Arial" w:hAnsi="Arial"/>
                <w:b w:val="1"/>
                <w:i w:val="0"/>
                <w:smallCaps w:val="0"/>
                <w:strike w:val="0"/>
                <w:color w:val="000000"/>
                <w:sz w:val="16"/>
                <w:szCs w:val="16"/>
                <w:highlight w:val="yellow"/>
                <w:u w:val="none"/>
                <w:vertAlign w:val="baseline"/>
                <w:rtl w:val="0"/>
              </w:rPr>
              <w:t xml:space="preserve">6625</w:t>
            </w:r>
            <w:r w:rsidDel="00000000" w:rsidR="00000000" w:rsidRPr="00000000">
              <w:rPr>
                <w:rtl w:val="0"/>
              </w:rPr>
            </w:r>
          </w:p>
        </w:tc>
        <w:tc>
          <w:tcPr>
            <w:shd w:fill="auto" w:val="clear"/>
            <w:vAlign w:val="center"/>
          </w:tcPr>
          <w:p w:rsidR="00000000" w:rsidDel="00000000" w:rsidP="00000000" w:rsidRDefault="00000000" w:rsidRPr="00000000" w14:paraId="000004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Fonts w:ascii="Arial" w:cs="Arial" w:eastAsia="Arial" w:hAnsi="Arial"/>
                <w:b w:val="0"/>
                <w:i w:val="0"/>
                <w:smallCaps w:val="0"/>
                <w:strike w:val="0"/>
                <w:color w:val="000000"/>
                <w:sz w:val="18"/>
                <w:szCs w:val="18"/>
                <w:highlight w:val="yellow"/>
                <w:u w:val="none"/>
                <w:vertAlign w:val="baseline"/>
                <w:rtl w:val="0"/>
              </w:rPr>
              <w:t xml:space="preserve">07/03/2005</w:t>
            </w:r>
          </w:p>
        </w:tc>
        <w:tc>
          <w:tcPr>
            <w:shd w:fill="e2efd9" w:val="clear"/>
            <w:vAlign w:val="center"/>
          </w:tcPr>
          <w:p w:rsidR="00000000" w:rsidDel="00000000" w:rsidP="00000000" w:rsidRDefault="00000000" w:rsidRPr="00000000" w14:paraId="000004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Fonts w:ascii="Arial" w:cs="Arial" w:eastAsia="Arial" w:hAnsi="Arial"/>
                <w:b w:val="0"/>
                <w:i w:val="0"/>
                <w:smallCaps w:val="0"/>
                <w:strike w:val="0"/>
                <w:color w:val="000000"/>
                <w:sz w:val="18"/>
                <w:szCs w:val="18"/>
                <w:highlight w:val="yellow"/>
                <w:u w:val="none"/>
                <w:vertAlign w:val="baseline"/>
                <w:rtl w:val="0"/>
              </w:rPr>
              <w:t xml:space="preserve">No aplica</w:t>
            </w:r>
          </w:p>
        </w:tc>
        <w:tc>
          <w:tcPr>
            <w:shd w:fill="auto" w:val="clear"/>
            <w:vAlign w:val="center"/>
          </w:tcPr>
          <w:p w:rsidR="00000000" w:rsidDel="00000000" w:rsidP="00000000" w:rsidRDefault="00000000" w:rsidRPr="00000000" w14:paraId="0000043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99"/>
              </w:tabs>
              <w:spacing w:after="0" w:before="0" w:line="240" w:lineRule="auto"/>
              <w:ind w:left="0" w:right="-47"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tl w:val="0"/>
              </w:rPr>
            </w:r>
          </w:p>
          <w:tbl>
            <w:tblPr>
              <w:tblStyle w:val="Table12"/>
              <w:tblW w:w="802.0" w:type="dxa"/>
              <w:jc w:val="left"/>
              <w:tblInd w:w="15.0" w:type="dxa"/>
              <w:tblBorders>
                <w:top w:color="000000" w:space="0" w:sz="0" w:val="nil"/>
                <w:left w:color="000000" w:space="0" w:sz="0" w:val="nil"/>
                <w:bottom w:color="000000" w:space="0" w:sz="0" w:val="nil"/>
                <w:right w:color="000000" w:space="0" w:sz="0" w:val="nil"/>
              </w:tblBorders>
              <w:tblLayout w:type="fixed"/>
              <w:tblLook w:val="0000"/>
            </w:tblPr>
            <w:tblGrid>
              <w:gridCol w:w="802"/>
              <w:tblGridChange w:id="0">
                <w:tblGrid>
                  <w:gridCol w:w="802"/>
                </w:tblGrid>
              </w:tblGridChange>
            </w:tblGrid>
            <w:tr>
              <w:trPr>
                <w:cantSplit w:val="0"/>
                <w:trHeight w:val="326" w:hRule="atLeast"/>
                <w:tblHeader w:val="0"/>
              </w:trPr>
              <w:tc>
                <w:tcPr/>
                <w:p w:rsidR="00000000" w:rsidDel="00000000" w:rsidP="00000000" w:rsidRDefault="00000000" w:rsidRPr="00000000" w14:paraId="0000043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99"/>
                    </w:tabs>
                    <w:spacing w:after="0" w:before="0" w:line="240" w:lineRule="auto"/>
                    <w:ind w:left="0" w:right="-47"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Fonts w:ascii="Arial" w:cs="Arial" w:eastAsia="Arial" w:hAnsi="Arial"/>
                      <w:b w:val="0"/>
                      <w:i w:val="0"/>
                      <w:smallCaps w:val="0"/>
                      <w:strike w:val="0"/>
                      <w:color w:val="000000"/>
                      <w:sz w:val="18"/>
                      <w:szCs w:val="18"/>
                      <w:highlight w:val="yellow"/>
                      <w:u w:val="none"/>
                      <w:vertAlign w:val="baseline"/>
                      <w:rtl w:val="0"/>
                    </w:rPr>
                    <w:t xml:space="preserve">912324</w:t>
                  </w:r>
                </w:p>
              </w:tc>
            </w:tr>
          </w:tbl>
          <w:p w:rsidR="00000000" w:rsidDel="00000000" w:rsidP="00000000" w:rsidRDefault="00000000" w:rsidRPr="00000000" w14:paraId="0000043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99"/>
              </w:tabs>
              <w:spacing w:after="0" w:before="0" w:line="240" w:lineRule="auto"/>
              <w:ind w:left="0" w:right="-47"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tl w:val="0"/>
              </w:rPr>
            </w:r>
          </w:p>
        </w:tc>
        <w:tc>
          <w:tcPr>
            <w:shd w:fill="e2efd9" w:val="clear"/>
            <w:vAlign w:val="center"/>
          </w:tcPr>
          <w:p w:rsidR="00000000" w:rsidDel="00000000" w:rsidP="00000000" w:rsidRDefault="00000000" w:rsidRPr="00000000" w14:paraId="000004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99"/>
              </w:tabs>
              <w:spacing w:after="0" w:before="0" w:line="240" w:lineRule="auto"/>
              <w:ind w:left="0" w:right="-47"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Fonts w:ascii="Arial" w:cs="Arial" w:eastAsia="Arial" w:hAnsi="Arial"/>
                <w:b w:val="0"/>
                <w:i w:val="0"/>
                <w:smallCaps w:val="0"/>
                <w:strike w:val="0"/>
                <w:color w:val="000000"/>
                <w:sz w:val="16"/>
                <w:szCs w:val="16"/>
                <w:highlight w:val="yellow"/>
                <w:u w:val="none"/>
                <w:vertAlign w:val="baseline"/>
                <w:rtl w:val="0"/>
              </w:rPr>
              <w:t xml:space="preserve">C-3699-1300-15-53105B-3699016-02</w:t>
            </w:r>
            <w:r w:rsidDel="00000000" w:rsidR="00000000" w:rsidRPr="00000000">
              <w:rPr>
                <w:rtl w:val="0"/>
              </w:rPr>
            </w:r>
          </w:p>
        </w:tc>
        <w:tc>
          <w:tcPr>
            <w:shd w:fill="auto" w:val="clear"/>
            <w:vAlign w:val="center"/>
          </w:tcPr>
          <w:p w:rsidR="00000000" w:rsidDel="00000000" w:rsidP="00000000" w:rsidRDefault="00000000" w:rsidRPr="00000000" w14:paraId="000004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tl w:val="0"/>
              </w:rPr>
            </w:r>
          </w:p>
          <w:p w:rsidR="00000000" w:rsidDel="00000000" w:rsidP="00000000" w:rsidRDefault="00000000" w:rsidRPr="00000000" w14:paraId="000004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Fonts w:ascii="Arial" w:cs="Arial" w:eastAsia="Arial" w:hAnsi="Arial"/>
                <w:b w:val="0"/>
                <w:i w:val="0"/>
                <w:smallCaps w:val="0"/>
                <w:strike w:val="0"/>
                <w:color w:val="000000"/>
                <w:sz w:val="18"/>
                <w:szCs w:val="18"/>
                <w:highlight w:val="yellow"/>
                <w:u w:val="none"/>
                <w:vertAlign w:val="baseline"/>
                <w:rtl w:val="0"/>
              </w:rPr>
              <w:t xml:space="preserve">NACION</w:t>
            </w:r>
          </w:p>
        </w:tc>
        <w:tc>
          <w:tcPr>
            <w:shd w:fill="e2efd9" w:val="clear"/>
            <w:vAlign w:val="center"/>
          </w:tcPr>
          <w:p w:rsidR="00000000" w:rsidDel="00000000" w:rsidP="00000000" w:rsidRDefault="00000000" w:rsidRPr="00000000" w14:paraId="000004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Fonts w:ascii="Arial" w:cs="Arial" w:eastAsia="Arial" w:hAnsi="Arial"/>
                <w:b w:val="0"/>
                <w:i w:val="0"/>
                <w:smallCaps w:val="0"/>
                <w:strike w:val="0"/>
                <w:color w:val="000000"/>
                <w:sz w:val="18"/>
                <w:szCs w:val="18"/>
                <w:highlight w:val="yellow"/>
                <w:u w:val="none"/>
                <w:vertAlign w:val="baseline"/>
                <w:rtl w:val="0"/>
              </w:rPr>
              <w:t xml:space="preserve">OCHOCIENTOS SETENTA MILLONES CINCO MIL PESOS MCTE</w:t>
            </w:r>
          </w:p>
        </w:tc>
        <w:tc>
          <w:tcPr>
            <w:shd w:fill="auto" w:val="clear"/>
            <w:vAlign w:val="center"/>
          </w:tcPr>
          <w:p w:rsidR="00000000" w:rsidDel="00000000" w:rsidP="00000000" w:rsidRDefault="00000000" w:rsidRPr="00000000" w14:paraId="000004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0"/>
                <w:smallCaps w:val="0"/>
                <w:strike w:val="0"/>
                <w:color w:val="000000"/>
                <w:sz w:val="18"/>
                <w:szCs w:val="18"/>
                <w:highlight w:val="yellow"/>
                <w:u w:val="none"/>
                <w:vertAlign w:val="baseline"/>
              </w:rPr>
            </w:pPr>
            <w:r w:rsidDel="00000000" w:rsidR="00000000" w:rsidRPr="00000000">
              <w:rPr>
                <w:rFonts w:ascii="Arial" w:cs="Arial" w:eastAsia="Arial" w:hAnsi="Arial"/>
                <w:b w:val="0"/>
                <w:i w:val="0"/>
                <w:smallCaps w:val="0"/>
                <w:strike w:val="0"/>
                <w:color w:val="000000"/>
                <w:sz w:val="18"/>
                <w:szCs w:val="18"/>
                <w:highlight w:val="yellow"/>
                <w:u w:val="none"/>
                <w:vertAlign w:val="baseline"/>
                <w:rtl w:val="0"/>
              </w:rPr>
              <w:t xml:space="preserve">$870.005.000</w:t>
            </w:r>
          </w:p>
        </w:tc>
      </w:tr>
    </w:tbl>
    <w:p w:rsidR="00000000" w:rsidDel="00000000" w:rsidP="00000000" w:rsidRDefault="00000000" w:rsidRPr="00000000" w14:paraId="0000043E">
      <w:pPr>
        <w:tabs>
          <w:tab w:val="left" w:leader="none" w:pos="0"/>
          <w:tab w:val="left" w:leader="none" w:pos="284"/>
        </w:tabs>
        <w:jc w:val="both"/>
        <w:rPr>
          <w:rFonts w:ascii="Arial" w:cs="Arial" w:eastAsia="Arial" w:hAnsi="Arial"/>
          <w:b w:val="1"/>
        </w:rPr>
      </w:pPr>
      <w:r w:rsidDel="00000000" w:rsidR="00000000" w:rsidRPr="00000000">
        <w:rPr>
          <w:rtl w:val="0"/>
        </w:rPr>
      </w:r>
    </w:p>
    <w:p w:rsidR="00000000" w:rsidDel="00000000" w:rsidP="00000000" w:rsidRDefault="00000000" w:rsidRPr="00000000" w14:paraId="0000043F">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tabs>
          <w:tab w:val="left" w:leader="none" w:pos="0"/>
          <w:tab w:val="left" w:leader="none" w:pos="284"/>
        </w:tabs>
        <w:spacing w:after="0" w:before="0" w:line="240" w:lineRule="auto"/>
        <w:ind w:left="720" w:right="0"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ANALISIS DE CAPACIDAD FINANCIERA Y ORGANIZACIONAL</w:t>
      </w:r>
    </w:p>
    <w:p w:rsidR="00000000" w:rsidDel="00000000" w:rsidP="00000000" w:rsidRDefault="00000000" w:rsidRPr="00000000" w14:paraId="0000044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 w:val="left" w:leader="none" w:pos="284"/>
        </w:tabs>
        <w:spacing w:after="0" w:before="0" w:line="240" w:lineRule="auto"/>
        <w:ind w:left="46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 w:val="left" w:leader="none" w:pos="284"/>
        </w:tabs>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Tomando en consideración que los indicadores de capacidad financiera y organizacional que establece el ordenamiento jurídico, versan sobre el producto de la relación de la información contable de cada proponente para el periodo establecido por la entidad contratante, se determina que los mismos son una simple referencia de la capacidad del futuro adjudicatario para ejecutar el objeto contractual, sin que medien situaciones en contra de las necesidades de la entidad de carácter financiero, no obstante, considera la entidad, con apego a los referentes que en la materia expone la Agencia Nacional de Contratación Pública – Colombia Compra Eficiente – que deben establecerse mínimos respecto a la salud contable del proponente, pero que a su vez permitan la participación de un número plural de participantes, sin que las solicitudes por concepto de capacidad financiera y organizacional, signifiquen un elemento que coarte la posibilidad de hacer parte del proceso de selección.</w:t>
      </w:r>
    </w:p>
    <w:p w:rsidR="00000000" w:rsidDel="00000000" w:rsidP="00000000" w:rsidRDefault="00000000" w:rsidRPr="00000000" w14:paraId="0000044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 w:val="left" w:leader="none" w:pos="284"/>
        </w:tabs>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59" w:lineRule="auto"/>
        <w:ind w:left="0" w:right="317"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ANALISIS DE CAPACIDAD FINANCIERA </w:t>
      </w:r>
    </w:p>
    <w:p w:rsidR="00000000" w:rsidDel="00000000" w:rsidP="00000000" w:rsidRDefault="00000000" w:rsidRPr="00000000" w14:paraId="0000044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59" w:lineRule="auto"/>
        <w:ind w:left="0" w:right="317"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Los indicadores de capacidad financiera buscan establecer unas condiciones mínimas que reflejan la salud financiera de los proponentes a través de su liquidez y endeudamiento. Estas condiciones muestran la aptitud del proponente para cumplir oportuna y cabalmente el objeto del contrato La capacidad financiera requerida en un Proceso de Contratación debe ser adecuada y proporcional a la naturaleza y al valor del contrato. En consecuencia, se establecen los requisitos de capacidad financiera con base en su conocimiento del sector relativo al objeto del Proceso de Contratación y de los posibles oferentes.</w:t>
      </w:r>
    </w:p>
    <w:p w:rsidR="00000000" w:rsidDel="00000000" w:rsidP="00000000" w:rsidRDefault="00000000" w:rsidRPr="00000000" w14:paraId="0000044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59" w:lineRule="auto"/>
        <w:ind w:left="0" w:right="317"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 atención a la naturaleza del contrato a suscribir y de su valor, plazo y forma de pago, se establece el uso de los indicadores que se consideran adecuados respecto al objeto del Proceso de Contratación sin limitarse a determinar y aplicar de forma mecánica fórmulas financieras para determinar los indicadores. Deben conocer cada indicador, sus fórmulas de cálculo y su interpretación</w:t>
      </w:r>
      <w:r w:rsidDel="00000000" w:rsidR="00000000" w:rsidRPr="00000000">
        <w:rPr>
          <w:rtl w:val="0"/>
        </w:rPr>
      </w:r>
    </w:p>
    <w:p w:rsidR="00000000" w:rsidDel="00000000" w:rsidP="00000000" w:rsidRDefault="00000000" w:rsidRPr="00000000" w14:paraId="0000044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59" w:lineRule="auto"/>
        <w:ind w:left="112" w:right="317"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Los indicadores de capacidad financiera contenidos en el artículo 2.2.1.1.1.5.3 del Decreto 1082 de 2015 son: </w:t>
      </w:r>
    </w:p>
    <w:p w:rsidR="00000000" w:rsidDel="00000000" w:rsidP="00000000" w:rsidRDefault="00000000" w:rsidRPr="00000000" w14:paraId="0000044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59" w:lineRule="auto"/>
        <w:ind w:left="112" w:right="317"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ÍNDICE DE LIQUIDEZ</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Activo Corriente / Pasivo Corriente</w:t>
      </w:r>
    </w:p>
    <w:p w:rsidR="00000000" w:rsidDel="00000000" w:rsidP="00000000" w:rsidRDefault="00000000" w:rsidRPr="00000000" w14:paraId="0000044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59" w:lineRule="auto"/>
        <w:ind w:left="112" w:right="317"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Determina la capacidad que tiene un proponente para cumplir con sus obligaciones de corto plazo. A mayor índice de liquidez, menor es la probabilidad de que el proponente incumpla sus obligaciones de corto plazo. El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nivel óptimo del índice de liquidez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encuentra</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entre 1 y 2</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y significa que el activo corriente es mayor que el pasivo corriente, por lo cual se considera que la empresa cuenta con una buena posición de liquidez para afrontar sus pagos en el corto plazo.  Para el presente proceso, el índice de liquidez debe ser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mayor o igual a 1,67</w:t>
      </w:r>
      <w:r w:rsidDel="00000000" w:rsidR="00000000" w:rsidRPr="00000000">
        <w:rPr>
          <w:rtl w:val="0"/>
        </w:rPr>
      </w:r>
    </w:p>
    <w:p w:rsidR="00000000" w:rsidDel="00000000" w:rsidP="00000000" w:rsidRDefault="00000000" w:rsidRPr="00000000" w14:paraId="0000044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59" w:lineRule="auto"/>
        <w:ind w:left="112" w:right="317"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ÍNDICE DE ENDEUDAMIENTO</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Pasivo Total / Activo Total</w:t>
      </w:r>
    </w:p>
    <w:p w:rsidR="00000000" w:rsidDel="00000000" w:rsidP="00000000" w:rsidRDefault="00000000" w:rsidRPr="00000000" w14:paraId="0000044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59" w:lineRule="auto"/>
        <w:ind w:left="112" w:right="317"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Determina el grado de endeudamiento en la estructura de financiación (pasivos y patrimonio) del proponente. A mayor índice de endeudamiento, mayor es la probabilidad del proponente de no poder cumplir con sus pasivos. Este indicador analiza el porcentaje o grado de participación de la totalidad de acreedores dentro de la empresa, sin discriminación alguna del tipo de acreedor: proveedores de materias primas, el Gobierno Nacional (impuestos pendientes de pago), entidades financieras, colaboradores, los mismos socios en calidad de prestamistas (cuando éstos conceden créditos a la empresa por fuera de los aportes de capital), entre otros. Un nivel de endeudamiento total superior a 100% indica que la empresa tiene mayores deudas respecto a sus activos, lo cual puede ser sinónimo de una bancarrota si no te toman las decisiones correctivas necesarias.  Para el presente proceso, el índice de endeudamiento debe ser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menor o igual a 0.54, equivalente al 54%.</w:t>
      </w:r>
    </w:p>
    <w:p w:rsidR="00000000" w:rsidDel="00000000" w:rsidP="00000000" w:rsidRDefault="00000000" w:rsidRPr="00000000" w14:paraId="0000044B">
      <w:pPr>
        <w:keepNext w:val="0"/>
        <w:keepLines w:val="0"/>
        <w:pageBreakBefore w:val="0"/>
        <w:widowControl w:val="1"/>
        <w:pBdr>
          <w:top w:space="0" w:sz="0" w:val="nil"/>
          <w:left w:space="0" w:sz="0" w:val="nil"/>
          <w:bottom w:space="0" w:sz="0" w:val="nil"/>
          <w:right w:space="0" w:sz="0" w:val="nil"/>
          <w:between w:space="0" w:sz="0" w:val="nil"/>
        </w:pBdr>
        <w:shd w:fill="ffffff" w:val="clear"/>
        <w:spacing w:after="240" w:before="240" w:line="240" w:lineRule="auto"/>
        <w:ind w:left="142"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RAZÓN DE COBERTURA DE INTERESES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Utilidad Operacional / Gastos de Intereses.</w:t>
      </w:r>
    </w:p>
    <w:p w:rsidR="00000000" w:rsidDel="00000000" w:rsidP="00000000" w:rsidRDefault="00000000" w:rsidRPr="00000000" w14:paraId="0000044C">
      <w:pPr>
        <w:keepNext w:val="0"/>
        <w:keepLines w:val="0"/>
        <w:pageBreakBefore w:val="0"/>
        <w:widowControl w:val="1"/>
        <w:pBdr>
          <w:top w:space="0" w:sz="0" w:val="nil"/>
          <w:left w:space="0" w:sz="0" w:val="nil"/>
          <w:bottom w:space="0" w:sz="0" w:val="nil"/>
          <w:right w:space="0" w:sz="0" w:val="nil"/>
          <w:between w:space="0" w:sz="0" w:val="nil"/>
        </w:pBdr>
        <w:shd w:fill="ffffff" w:val="clear"/>
        <w:spacing w:after="240" w:before="240" w:line="240" w:lineRule="auto"/>
        <w:ind w:left="142"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Refleja la capacidad del proponente de cumplir con sus obligaciones financieras. A mayor cobertura de intereses, menor es la probabilidad de que el proponente incumpla sus obligaciones financieras. Comunica la capacidad de una empresa para cubrir los costos de intereses de sus deudas durante un período determinado.  Cuan mayores valores positivos obtengamos de este indicador, mayor será la capacidad del proponente para hacer frente al costo de intereses. Para el presente proceso, la razón de Cobertura de intereses debe ser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mayor o igual a 1.</w:t>
      </w:r>
      <w:r w:rsidDel="00000000" w:rsidR="00000000" w:rsidRPr="00000000">
        <w:rPr>
          <w:rtl w:val="0"/>
        </w:rPr>
      </w:r>
    </w:p>
    <w:p w:rsidR="00000000" w:rsidDel="00000000" w:rsidP="00000000" w:rsidRDefault="00000000" w:rsidRPr="00000000" w14:paraId="0000044D">
      <w:pPr>
        <w:pStyle w:val="Heading2"/>
        <w:shd w:fill="ffffff" w:val="clea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siguiente tabla muestra la interpretación de cada uno de los indicadores de capacidad financiera que debe contener el RUP y su relación con la probabilidad de Riesgo:</w:t>
      </w:r>
    </w:p>
    <w:p w:rsidR="00000000" w:rsidDel="00000000" w:rsidP="00000000" w:rsidRDefault="00000000" w:rsidRPr="00000000" w14:paraId="0000044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59" w:lineRule="auto"/>
        <w:ind w:left="112" w:right="317"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5766087" cy="1831477"/>
            <wp:effectExtent b="0" l="0" r="0" t="0"/>
            <wp:docPr id="15" name="image2.png"/>
            <a:graphic>
              <a:graphicData uri="http://schemas.openxmlformats.org/drawingml/2006/picture">
                <pic:pic>
                  <pic:nvPicPr>
                    <pic:cNvPr id="0" name="image2.png"/>
                    <pic:cNvPicPr preferRelativeResize="0"/>
                  </pic:nvPicPr>
                  <pic:blipFill>
                    <a:blip r:embed="rId37"/>
                    <a:srcRect b="0" l="0" r="0" t="17717"/>
                    <a:stretch>
                      <a:fillRect/>
                    </a:stretch>
                  </pic:blipFill>
                  <pic:spPr>
                    <a:xfrm>
                      <a:off x="0" y="0"/>
                      <a:ext cx="5766087" cy="1831477"/>
                    </a:xfrm>
                    <a:prstGeom prst="rect"/>
                    <a:ln/>
                  </pic:spPr>
                </pic:pic>
              </a:graphicData>
            </a:graphic>
          </wp:inline>
        </w:drawing>
      </w:r>
      <w:r w:rsidDel="00000000" w:rsidR="00000000" w:rsidRPr="00000000">
        <w:rPr>
          <w:rtl w:val="0"/>
        </w:rPr>
      </w:r>
    </w:p>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 w:line="240" w:lineRule="auto"/>
        <w:ind w:left="0" w:right="317"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ANALISIS DE CAPACIDAD ORGANIZACIÓNAL</w:t>
      </w:r>
    </w:p>
    <w:p w:rsidR="00000000" w:rsidDel="00000000" w:rsidP="00000000" w:rsidRDefault="00000000" w:rsidRPr="00000000" w14:paraId="0000045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40" w:lineRule="auto"/>
        <w:ind w:left="0" w:right="317"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La determinación de cada requisito habilitante está enmarcada en el análisis y el concepto de lo que mide el indicador. Si el indicador representa una mayor probabilidad de Riesgo a medida que su valor es mayor, se fija un valor máximo para el requisito habilitante. Si el indicador representa una menor probabilidad de Riesgo a medida que su valor es mayor, se fija un mínimo. La siguiente tabla muestra la interpretación de cada uno de los indicadores de capacidad organizacional que debe contener el RUP y su relación con la probabilidad del Riesgo:</w:t>
      </w:r>
      <w:r w:rsidDel="00000000" w:rsidR="00000000" w:rsidRPr="00000000">
        <w:drawing>
          <wp:anchor allowOverlap="1" behindDoc="0" distB="0" distT="0" distL="114300" distR="114300" hidden="0" layoutInCell="1" locked="0" relativeHeight="0" simplePos="0">
            <wp:simplePos x="0" y="0"/>
            <wp:positionH relativeFrom="column">
              <wp:posOffset>-55243</wp:posOffset>
            </wp:positionH>
            <wp:positionV relativeFrom="paragraph">
              <wp:posOffset>1393190</wp:posOffset>
            </wp:positionV>
            <wp:extent cx="5686425" cy="1338659"/>
            <wp:effectExtent b="0" l="0" r="0" t="0"/>
            <wp:wrapSquare wrapText="bothSides" distB="0" distT="0" distL="114300" distR="114300"/>
            <wp:docPr descr="Interfaz de usuario gráfica, Texto, Aplicación&#10;&#10;Descripción generada automáticamente" id="5" name="image8.png"/>
            <a:graphic>
              <a:graphicData uri="http://schemas.openxmlformats.org/drawingml/2006/picture">
                <pic:pic>
                  <pic:nvPicPr>
                    <pic:cNvPr descr="Interfaz de usuario gráfica, Texto, Aplicación&#10;&#10;Descripción generada automáticamente" id="0" name="image8.png"/>
                    <pic:cNvPicPr preferRelativeResize="0"/>
                  </pic:nvPicPr>
                  <pic:blipFill>
                    <a:blip r:embed="rId38"/>
                    <a:srcRect b="0" l="0" r="0" t="0"/>
                    <a:stretch>
                      <a:fillRect/>
                    </a:stretch>
                  </pic:blipFill>
                  <pic:spPr>
                    <a:xfrm>
                      <a:off x="0" y="0"/>
                      <a:ext cx="5686425" cy="1338659"/>
                    </a:xfrm>
                    <a:prstGeom prst="rect"/>
                    <a:ln/>
                  </pic:spPr>
                </pic:pic>
              </a:graphicData>
            </a:graphic>
          </wp:anchor>
        </w:drawing>
      </w:r>
    </w:p>
    <w:p w:rsidR="00000000" w:rsidDel="00000000" w:rsidP="00000000" w:rsidRDefault="00000000" w:rsidRPr="00000000" w14:paraId="0000045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40" w:lineRule="auto"/>
        <w:ind w:left="0" w:right="317"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Los indicadores de capacidad organizacional contenidos en el artículo 2.2.1.1.1.5.3 del Decreto 1082 de 2015 son:</w:t>
      </w:r>
    </w:p>
    <w:p w:rsidR="00000000" w:rsidDel="00000000" w:rsidP="00000000" w:rsidRDefault="00000000" w:rsidRPr="00000000" w14:paraId="0000045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40" w:lineRule="auto"/>
        <w:ind w:left="0" w:right="317"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RENTABILIDAD SOBRE PATRIMONIO:</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Utilidad Operacional / Patrimonio.</w:t>
      </w:r>
    </w:p>
    <w:p w:rsidR="00000000" w:rsidDel="00000000" w:rsidP="00000000" w:rsidRDefault="00000000" w:rsidRPr="00000000" w14:paraId="0000045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40" w:lineRule="auto"/>
        <w:ind w:left="0" w:right="317"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Determina la rentabilidad del patrimonio del proponente, es decir, la capacidad de generación de utilidad operacional por cada peso invertido en el patrimonio. A mayor rentabilidad sobre el patrimonio, mayor es la rentabilidad de los accionistas y mejor la capacidad organizacional del proponente.  Para el presente proceso, la rentabilidad sobre el patrimonio debe ser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mayor o igual a 0,08.</w:t>
      </w:r>
      <w:r w:rsidDel="00000000" w:rsidR="00000000" w:rsidRPr="00000000">
        <w:rPr>
          <w:rtl w:val="0"/>
        </w:rPr>
      </w:r>
    </w:p>
    <w:p w:rsidR="00000000" w:rsidDel="00000000" w:rsidP="00000000" w:rsidRDefault="00000000" w:rsidRPr="00000000" w14:paraId="0000045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40" w:lineRule="auto"/>
        <w:ind w:left="0" w:right="317"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RENTABILIDAD SOBRE ACTIVOS: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Utilidad Operacional / Activo Total.</w:t>
      </w:r>
    </w:p>
    <w:p w:rsidR="00000000" w:rsidDel="00000000" w:rsidP="00000000" w:rsidRDefault="00000000" w:rsidRPr="00000000" w14:paraId="0000045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40" w:lineRule="auto"/>
        <w:ind w:left="0" w:right="317"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Determina la rentabilidad de los activos del proponente, es decir, la capacidad de generación de utilidad operacional por cada peso invertido en el activo. A mayor rentabilidad sobre activos, mayor es la rentabilidad del negocio y mejor la capacidad organizacional del proponente. Este indicador debe ser siempre menor o igual que el de rentabilidad sobre patrimonio. Para el presente proceso, la rentabilidad sobre activos debe ser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mayor o igual a 0,06.</w:t>
      </w:r>
      <w:r w:rsidDel="00000000" w:rsidR="00000000" w:rsidRPr="00000000">
        <w:rPr>
          <w:rtl w:val="0"/>
        </w:rPr>
      </w:r>
    </w:p>
    <w:p w:rsidR="00000000" w:rsidDel="00000000" w:rsidP="00000000" w:rsidRDefault="00000000" w:rsidRPr="00000000" w14:paraId="0000045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31" w:line="240" w:lineRule="auto"/>
        <w:ind w:left="0" w:right="317"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Tomando en consideración que los indicadores de capacidad financiera y organizacional que establece el ordenamiento jurídico, versan sobre el producto de la relación de la información contable de cada proponente para el periodo establecido por la entidad contratante, se determina que los mismos son una simple referencia de la capacidad del futuro adjudicatario para ejecutar el objeto contractual, sin que medien situaciones en contra de las necesidades de la entidad de carácter financiero, no obstante, considera la entidad, con apego a los referentes que en la materia expone la Agencia Nacional de Contratación Pública – Colombia Compra Eficiente – que deben establecerse mínimos respecto a la salud contable del proponente, pero que a su vez permitan la participación de un número plural de participantes, sin que las solicitudes por concepto de capacidad financiera y organizacional, signifiquen un elemento que coarte la posibilidad de hacer parte del proceso de selección.</w:t>
      </w:r>
    </w:p>
    <w:p w:rsidR="00000000" w:rsidDel="00000000" w:rsidP="00000000" w:rsidRDefault="00000000" w:rsidRPr="00000000" w14:paraId="0000045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318" w:firstLine="0"/>
        <w:jc w:val="left"/>
        <w:rPr>
          <w:rFonts w:ascii="Arial" w:cs="Arial" w:eastAsia="Arial" w:hAnsi="Arial"/>
          <w:b w:val="0"/>
          <w:i w:val="0"/>
          <w:smallCaps w:val="0"/>
          <w:strike w:val="0"/>
          <w:color w:val="000000"/>
          <w:sz w:val="22"/>
          <w:szCs w:val="22"/>
          <w:highlight w:val="darkCyan"/>
          <w:u w:val="none"/>
          <w:vertAlign w:val="baseline"/>
        </w:rPr>
      </w:pPr>
      <w:r w:rsidDel="00000000" w:rsidR="00000000" w:rsidRPr="00000000">
        <w:rPr>
          <w:rtl w:val="0"/>
        </w:rPr>
      </w:r>
    </w:p>
    <w:p w:rsidR="00000000" w:rsidDel="00000000" w:rsidP="00000000" w:rsidRDefault="00000000" w:rsidRPr="00000000" w14:paraId="0000045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318"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JUSTIFICACION INDICADORES FINANCIEROS Y ORGANIZACIONALES </w:t>
      </w:r>
    </w:p>
    <w:p w:rsidR="00000000" w:rsidDel="00000000" w:rsidP="00000000" w:rsidRDefault="00000000" w:rsidRPr="00000000" w14:paraId="0000045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318"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Dentro de los lineamientos generales contenidos para la selección de contratistas, está la de velar por la salud financiera del proceso, favoreciendo el recurso publico ejecutado por la administración, pero al mismo tiempo exigiendo indicadores que se encuentren enmarcados dentro de las tendencias financieras del sector tanto a nivel nacional, como regional. Por lo anterior, se realiza el análisis de los INDICADORES FINANCIEROS por el comité económico estructurador. Con el ánimo de establecer el comportamiento de los indicadores financieros de las empresas del sector, se tomó como referencia la información Financiera publicada por el SISTEMA DE INFORMACION DE LA SUPERINTENDENCIA DE SOCIEDADES a través de la base de datos de INFORMACION ECONOMICA Y FINANCIERA – BASE COMPLETA ESTADOS FINANCIEROS con corte 31 de diciembre de 2021, tomando la información reportada por las siguientes actividades las cuales para el presente proceso serán objeto de estudio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455</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entidades, de las cuales 366 corresponden a actividades clasificadas en el item F4290 - Construcción de otras obras de ingeniería civil, 27 con actividades correspondientes al ítem F4330 - Terminación y acabado de edificios y obras de ingeniería civil y 62 entidades con actividades correspondientes al ítem F4330 - Terminación y acabado de edificios y obras de ingeniería civil. </w:t>
      </w:r>
    </w:p>
    <w:p w:rsidR="00000000" w:rsidDel="00000000" w:rsidP="00000000" w:rsidRDefault="00000000" w:rsidRPr="00000000" w14:paraId="0000045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318"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5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318"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3"/>
        <w:tblpPr w:leftFromText="141" w:rightFromText="141" w:topFromText="0" w:bottomFromText="0" w:vertAnchor="text" w:horzAnchor="text" w:tblpX="0" w:tblpY="140"/>
        <w:tblW w:w="8926.0" w:type="dxa"/>
        <w:jc w:val="left"/>
        <w:tblLayout w:type="fixed"/>
        <w:tblLook w:val="0400"/>
      </w:tblPr>
      <w:tblGrid>
        <w:gridCol w:w="997"/>
        <w:gridCol w:w="955"/>
        <w:gridCol w:w="1258"/>
        <w:gridCol w:w="1106"/>
        <w:gridCol w:w="1088"/>
        <w:gridCol w:w="1195"/>
        <w:gridCol w:w="1160"/>
        <w:gridCol w:w="1167"/>
        <w:tblGridChange w:id="0">
          <w:tblGrid>
            <w:gridCol w:w="997"/>
            <w:gridCol w:w="955"/>
            <w:gridCol w:w="1258"/>
            <w:gridCol w:w="1106"/>
            <w:gridCol w:w="1088"/>
            <w:gridCol w:w="1195"/>
            <w:gridCol w:w="1160"/>
            <w:gridCol w:w="1167"/>
          </w:tblGrid>
        </w:tblGridChange>
      </w:tblGrid>
      <w:tr>
        <w:trPr>
          <w:cantSplit w:val="0"/>
          <w:trHeight w:val="315" w:hRule="atLeast"/>
          <w:tblHeader w:val="0"/>
        </w:trPr>
        <w:tc>
          <w:tcPr>
            <w:tcBorders>
              <w:top w:color="000000" w:space="0" w:sz="0" w:val="nil"/>
              <w:left w:color="000000" w:space="0" w:sz="0" w:val="nil"/>
              <w:bottom w:color="000000" w:space="0" w:sz="0" w:val="nil"/>
              <w:right w:color="000000" w:space="0" w:sz="0" w:val="nil"/>
            </w:tcBorders>
            <w:shd w:fill="ffffff" w:val="clear"/>
            <w:vAlign w:val="bottom"/>
          </w:tcPr>
          <w:p w:rsidR="00000000" w:rsidDel="00000000" w:rsidP="00000000" w:rsidRDefault="00000000" w:rsidRPr="00000000" w14:paraId="0000045C">
            <w:pP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45D">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Mayor o Igual</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5E">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Menor o Igual</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5F">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Igual o Mayor</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60">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Mayor o Igual</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61">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Mayor o Igual</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62">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Igual o Mayor</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63">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Igual o Mayor</w:t>
            </w:r>
          </w:p>
        </w:tc>
      </w:tr>
      <w:tr>
        <w:trPr>
          <w:cantSplit w:val="0"/>
          <w:trHeight w:val="600" w:hRule="atLeast"/>
          <w:tblHeader w:val="0"/>
        </w:trPr>
        <w:tc>
          <w:tcPr>
            <w:tcBorders>
              <w:top w:color="000000" w:space="0" w:sz="0" w:val="nil"/>
              <w:left w:color="000000" w:space="0" w:sz="0" w:val="nil"/>
              <w:bottom w:color="000000" w:space="0" w:sz="0" w:val="nil"/>
              <w:right w:color="000000" w:space="0" w:sz="0" w:val="nil"/>
            </w:tcBorders>
            <w:shd w:fill="ffffff" w:val="clear"/>
            <w:vAlign w:val="bottom"/>
          </w:tcPr>
          <w:p w:rsidR="00000000" w:rsidDel="00000000" w:rsidP="00000000" w:rsidRDefault="00000000" w:rsidRPr="00000000" w14:paraId="00000464">
            <w:pP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 </w:t>
            </w:r>
          </w:p>
        </w:tc>
        <w:tc>
          <w:tcPr>
            <w:tcBorders>
              <w:top w:color="000000" w:space="0" w:sz="0" w:val="nil"/>
              <w:left w:color="000000" w:space="0" w:sz="4" w:val="single"/>
              <w:bottom w:color="000000" w:space="0" w:sz="4" w:val="single"/>
              <w:right w:color="000000" w:space="0" w:sz="4" w:val="single"/>
            </w:tcBorders>
            <w:shd w:fill="b4c6e7" w:val="clear"/>
            <w:vAlign w:val="center"/>
          </w:tcPr>
          <w:p w:rsidR="00000000" w:rsidDel="00000000" w:rsidP="00000000" w:rsidRDefault="00000000" w:rsidRPr="00000000" w14:paraId="00000465">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LIQUIDEZ</w:t>
            </w:r>
          </w:p>
        </w:tc>
        <w:tc>
          <w:tcPr>
            <w:tcBorders>
              <w:top w:color="000000" w:space="0" w:sz="0" w:val="nil"/>
              <w:left w:color="000000" w:space="0" w:sz="0" w:val="nil"/>
              <w:bottom w:color="000000" w:space="0" w:sz="4" w:val="single"/>
              <w:right w:color="000000" w:space="0" w:sz="4" w:val="single"/>
            </w:tcBorders>
            <w:shd w:fill="b4c6e7" w:val="clear"/>
            <w:vAlign w:val="center"/>
          </w:tcPr>
          <w:p w:rsidR="00000000" w:rsidDel="00000000" w:rsidP="00000000" w:rsidRDefault="00000000" w:rsidRPr="00000000" w14:paraId="00000466">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ENDEUDAMIENTO</w:t>
            </w:r>
          </w:p>
        </w:tc>
        <w:tc>
          <w:tcPr>
            <w:tcBorders>
              <w:top w:color="000000" w:space="0" w:sz="0" w:val="nil"/>
              <w:left w:color="000000" w:space="0" w:sz="0" w:val="nil"/>
              <w:bottom w:color="000000" w:space="0" w:sz="4" w:val="single"/>
              <w:right w:color="000000" w:space="0" w:sz="4" w:val="single"/>
            </w:tcBorders>
            <w:shd w:fill="b4c6e7" w:val="clear"/>
            <w:vAlign w:val="center"/>
          </w:tcPr>
          <w:p w:rsidR="00000000" w:rsidDel="00000000" w:rsidP="00000000" w:rsidRDefault="00000000" w:rsidRPr="00000000" w14:paraId="00000467">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INTERESES</w:t>
            </w:r>
          </w:p>
        </w:tc>
        <w:tc>
          <w:tcPr>
            <w:tcBorders>
              <w:top w:color="000000" w:space="0" w:sz="0" w:val="nil"/>
              <w:left w:color="000000" w:space="0" w:sz="0" w:val="nil"/>
              <w:bottom w:color="000000" w:space="0" w:sz="4" w:val="single"/>
              <w:right w:color="000000" w:space="0" w:sz="4" w:val="single"/>
            </w:tcBorders>
            <w:shd w:fill="b4c6e7" w:val="clear"/>
            <w:vAlign w:val="center"/>
          </w:tcPr>
          <w:p w:rsidR="00000000" w:rsidDel="00000000" w:rsidP="00000000" w:rsidRDefault="00000000" w:rsidRPr="00000000" w14:paraId="00000468">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RENTABILIDAD PATRIMONIO</w:t>
            </w:r>
          </w:p>
        </w:tc>
        <w:tc>
          <w:tcPr>
            <w:tcBorders>
              <w:top w:color="000000" w:space="0" w:sz="0" w:val="nil"/>
              <w:left w:color="000000" w:space="0" w:sz="0" w:val="nil"/>
              <w:bottom w:color="000000" w:space="0" w:sz="4" w:val="single"/>
              <w:right w:color="000000" w:space="0" w:sz="4" w:val="single"/>
            </w:tcBorders>
            <w:shd w:fill="b4c6e7" w:val="clear"/>
            <w:vAlign w:val="center"/>
          </w:tcPr>
          <w:p w:rsidR="00000000" w:rsidDel="00000000" w:rsidP="00000000" w:rsidRDefault="00000000" w:rsidRPr="00000000" w14:paraId="00000469">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RENTABILIDAD ACTIVO</w:t>
            </w:r>
          </w:p>
        </w:tc>
        <w:tc>
          <w:tcPr>
            <w:tcBorders>
              <w:top w:color="000000" w:space="0" w:sz="0" w:val="nil"/>
              <w:left w:color="000000" w:space="0" w:sz="0" w:val="nil"/>
              <w:bottom w:color="000000" w:space="0" w:sz="4" w:val="single"/>
              <w:right w:color="000000" w:space="0" w:sz="4" w:val="single"/>
            </w:tcBorders>
            <w:shd w:fill="b4c6e7" w:val="clear"/>
            <w:vAlign w:val="center"/>
          </w:tcPr>
          <w:p w:rsidR="00000000" w:rsidDel="00000000" w:rsidP="00000000" w:rsidRDefault="00000000" w:rsidRPr="00000000" w14:paraId="0000046A">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CAPITAL DE TRABAJO</w:t>
            </w:r>
          </w:p>
        </w:tc>
        <w:tc>
          <w:tcPr>
            <w:tcBorders>
              <w:top w:color="000000" w:space="0" w:sz="0" w:val="nil"/>
              <w:left w:color="000000" w:space="0" w:sz="0" w:val="nil"/>
              <w:bottom w:color="000000" w:space="0" w:sz="4" w:val="single"/>
              <w:right w:color="000000" w:space="0" w:sz="4" w:val="single"/>
            </w:tcBorders>
            <w:shd w:fill="b4c6e7" w:val="clear"/>
            <w:vAlign w:val="center"/>
          </w:tcPr>
          <w:p w:rsidR="00000000" w:rsidDel="00000000" w:rsidP="00000000" w:rsidRDefault="00000000" w:rsidRPr="00000000" w14:paraId="0000046B">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CAPITAL </w:t>
              <w:br w:type="textWrapping"/>
              <w:t xml:space="preserve">DE TRABAJO</w:t>
            </w:r>
          </w:p>
        </w:tc>
      </w:tr>
      <w:tr>
        <w:trPr>
          <w:cantSplit w:val="0"/>
          <w:trHeight w:val="330" w:hRule="atLeast"/>
          <w:tblHeader w:val="0"/>
        </w:trPr>
        <w:tc>
          <w:tcPr>
            <w:tcBorders>
              <w:top w:color="000000" w:space="0" w:sz="4" w:val="single"/>
              <w:left w:color="000000" w:space="0" w:sz="4" w:val="single"/>
              <w:bottom w:color="000000" w:space="0" w:sz="4" w:val="single"/>
              <w:right w:color="000000" w:space="0" w:sz="4" w:val="single"/>
            </w:tcBorders>
            <w:shd w:fill="b4c6e7" w:val="clear"/>
            <w:vAlign w:val="center"/>
          </w:tcPr>
          <w:p w:rsidR="00000000" w:rsidDel="00000000" w:rsidP="00000000" w:rsidRDefault="00000000" w:rsidRPr="00000000" w14:paraId="0000046C">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PROMEDIO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6D">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3,24</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6E">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58%</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6F">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32,30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0">
            <w:pPr>
              <w:jc w:val="right"/>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20,98%</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1">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8,44%</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2">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 $          6.156.768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3">
            <w:pP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             6.156.768 </w:t>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b4c6e7" w:val="clear"/>
            <w:vAlign w:val="center"/>
          </w:tcPr>
          <w:p w:rsidR="00000000" w:rsidDel="00000000" w:rsidP="00000000" w:rsidRDefault="00000000" w:rsidRPr="00000000" w14:paraId="00000474">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MINIMO VALOR</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5">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0,50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6">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7">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-3413,39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8">
            <w:pPr>
              <w:jc w:val="right"/>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-382,31%</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9">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-9,65%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A">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         4.868.455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B">
            <w:pP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            4.868.455 </w:t>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b4c6e7" w:val="clear"/>
            <w:vAlign w:val="center"/>
          </w:tcPr>
          <w:p w:rsidR="00000000" w:rsidDel="00000000" w:rsidP="00000000" w:rsidRDefault="00000000" w:rsidRPr="00000000" w14:paraId="0000047C">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MAXIMO VALOR</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D">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12,25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E">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128%</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7F">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5716,83</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80">
            <w:pPr>
              <w:jc w:val="right"/>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689,32%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81">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71,89%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82">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 $     168.455.073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83">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        168.455.073 </w:t>
            </w:r>
          </w:p>
        </w:tc>
      </w:tr>
      <w:tr>
        <w:trPr>
          <w:cantSplit w:val="0"/>
          <w:trHeight w:val="330" w:hRule="atLeast"/>
          <w:tblHeader w:val="0"/>
        </w:trPr>
        <w:tc>
          <w:tcPr>
            <w:tcBorders>
              <w:top w:color="000000" w:space="0" w:sz="0" w:val="nil"/>
              <w:left w:color="000000" w:space="0" w:sz="4" w:val="single"/>
              <w:bottom w:color="000000" w:space="0" w:sz="4" w:val="single"/>
              <w:right w:color="000000" w:space="0" w:sz="4" w:val="single"/>
            </w:tcBorders>
            <w:shd w:fill="fbe5d5" w:val="clear"/>
            <w:vAlign w:val="center"/>
          </w:tcPr>
          <w:p w:rsidR="00000000" w:rsidDel="00000000" w:rsidP="00000000" w:rsidRDefault="00000000" w:rsidRPr="00000000" w14:paraId="00000484">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MEDIANA</w:t>
            </w:r>
          </w:p>
        </w:tc>
        <w:tc>
          <w:tcPr>
            <w:tcBorders>
              <w:top w:color="000000" w:space="0" w:sz="0" w:val="nil"/>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85">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2,28</w:t>
            </w:r>
          </w:p>
        </w:tc>
        <w:tc>
          <w:tcPr>
            <w:tcBorders>
              <w:top w:color="000000" w:space="0" w:sz="0" w:val="nil"/>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86">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55%</w:t>
            </w:r>
          </w:p>
        </w:tc>
        <w:tc>
          <w:tcPr>
            <w:tcBorders>
              <w:top w:color="000000" w:space="0" w:sz="0" w:val="nil"/>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87">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                       3,91 </w:t>
            </w:r>
          </w:p>
        </w:tc>
        <w:tc>
          <w:tcPr>
            <w:tcBorders>
              <w:top w:color="000000" w:space="0" w:sz="0" w:val="nil"/>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88">
            <w:pP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                       0,16 </w:t>
            </w:r>
          </w:p>
        </w:tc>
        <w:tc>
          <w:tcPr>
            <w:tcBorders>
              <w:top w:color="000000" w:space="0" w:sz="0" w:val="nil"/>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89">
            <w:pP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                       0,07 </w:t>
            </w:r>
          </w:p>
        </w:tc>
        <w:tc>
          <w:tcPr>
            <w:tcBorders>
              <w:top w:color="000000" w:space="0" w:sz="0" w:val="nil"/>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8A">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 $          2.558.162 </w:t>
            </w:r>
          </w:p>
        </w:tc>
        <w:tc>
          <w:tcPr>
            <w:tcBorders>
              <w:top w:color="000000" w:space="0" w:sz="0" w:val="nil"/>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8B">
            <w:pP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             2.558.162 </w:t>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b4c6e7" w:val="clear"/>
            <w:vAlign w:val="center"/>
          </w:tcPr>
          <w:p w:rsidR="00000000" w:rsidDel="00000000" w:rsidP="00000000" w:rsidRDefault="00000000" w:rsidRPr="00000000" w14:paraId="0000048C">
            <w:pPr>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MEDIA GEOMETRICA</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8D">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2,51</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8E">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55%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8F">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#¡NUM!</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90">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#¡NUM!</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91">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#¡NUM!</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92">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#¡NUM!</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93">
            <w:pPr>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#¡NUM!</w:t>
            </w:r>
          </w:p>
        </w:tc>
      </w:tr>
    </w:tbl>
    <w:p w:rsidR="00000000" w:rsidDel="00000000" w:rsidP="00000000" w:rsidRDefault="00000000" w:rsidRPr="00000000" w14:paraId="0000049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318"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9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113" w:right="318"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 acuerdo con el manual para determinar y verificar los requisitos habilitantes en los procesos de contratación expedido por Colombia Compra Eficiente, el comité económico estructurador tomó como referencia la </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MEDIANA</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para los indicadores de LIQUIDEZ, ENDEUDAMIENTO, RAZON DE COBERTURA DE INTERES, RENTABILIDAD DEL ACTIVO y RENTABILIDAD DEL PLATRIMONIO.</w:t>
      </w:r>
    </w:p>
    <w:p w:rsidR="00000000" w:rsidDel="00000000" w:rsidP="00000000" w:rsidRDefault="00000000" w:rsidRPr="00000000" w14:paraId="0000049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318"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14"/>
        <w:tblW w:w="8926.0" w:type="dxa"/>
        <w:jc w:val="left"/>
        <w:tblInd w:w="-5.0" w:type="dxa"/>
        <w:tblLayout w:type="fixed"/>
        <w:tblLook w:val="0400"/>
      </w:tblPr>
      <w:tblGrid>
        <w:gridCol w:w="1130"/>
        <w:gridCol w:w="789"/>
        <w:gridCol w:w="1341"/>
        <w:gridCol w:w="1193"/>
        <w:gridCol w:w="1386"/>
        <w:gridCol w:w="1363"/>
        <w:gridCol w:w="1724"/>
        <w:tblGridChange w:id="0">
          <w:tblGrid>
            <w:gridCol w:w="1130"/>
            <w:gridCol w:w="789"/>
            <w:gridCol w:w="1341"/>
            <w:gridCol w:w="1193"/>
            <w:gridCol w:w="1386"/>
            <w:gridCol w:w="1363"/>
            <w:gridCol w:w="1724"/>
          </w:tblGrid>
        </w:tblGridChange>
      </w:tblGrid>
      <w:tr>
        <w:trPr>
          <w:cantSplit w:val="0"/>
          <w:trHeight w:val="702"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497">
            <w:pPr>
              <w:jc w:val="right"/>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INDICADOR   -&gt;  </w:t>
            </w:r>
          </w:p>
        </w:tc>
        <w:tc>
          <w:tcPr>
            <w:tcBorders>
              <w:top w:color="000000" w:space="0" w:sz="4" w:val="single"/>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98">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Liquidez</w:t>
            </w:r>
          </w:p>
        </w:tc>
        <w:tc>
          <w:tcPr>
            <w:tcBorders>
              <w:top w:color="000000" w:space="0" w:sz="4" w:val="single"/>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99">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Endeudamiento</w:t>
            </w:r>
          </w:p>
        </w:tc>
        <w:tc>
          <w:tcPr>
            <w:tcBorders>
              <w:top w:color="000000" w:space="0" w:sz="4" w:val="single"/>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9A">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Cobertura de Interese</w:t>
            </w:r>
          </w:p>
        </w:tc>
        <w:tc>
          <w:tcPr>
            <w:tcBorders>
              <w:top w:color="000000" w:space="0" w:sz="4" w:val="single"/>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9B">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Rentabilidad Patrimonio</w:t>
            </w:r>
          </w:p>
        </w:tc>
        <w:tc>
          <w:tcPr>
            <w:tcBorders>
              <w:top w:color="000000" w:space="0" w:sz="4" w:val="single"/>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9C">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Rentabilidad del Activo</w:t>
            </w:r>
          </w:p>
        </w:tc>
        <w:tc>
          <w:tcPr>
            <w:tcBorders>
              <w:top w:color="000000" w:space="0" w:sz="4" w:val="single"/>
              <w:left w:color="000000" w:space="0" w:sz="0" w:val="nil"/>
              <w:bottom w:color="000000" w:space="0" w:sz="4" w:val="single"/>
              <w:right w:color="000000" w:space="0" w:sz="4" w:val="single"/>
            </w:tcBorders>
            <w:shd w:fill="fbe5d5" w:val="clear"/>
            <w:vAlign w:val="center"/>
          </w:tcPr>
          <w:p w:rsidR="00000000" w:rsidDel="00000000" w:rsidP="00000000" w:rsidRDefault="00000000" w:rsidRPr="00000000" w14:paraId="0000049D">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Capital de Trabajo</w:t>
            </w:r>
          </w:p>
        </w:tc>
      </w:tr>
      <w:tr>
        <w:trPr>
          <w:cantSplit w:val="0"/>
          <w:trHeight w:val="799"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49E">
            <w:pPr>
              <w:jc w:val="center"/>
              <w:rPr>
                <w:rFonts w:ascii="Arial" w:cs="Arial" w:eastAsia="Arial" w:hAnsi="Arial"/>
                <w:color w:val="000000"/>
                <w:sz w:val="16"/>
                <w:szCs w:val="16"/>
              </w:rPr>
            </w:pPr>
            <w:r w:rsidDel="00000000" w:rsidR="00000000" w:rsidRPr="00000000">
              <w:rPr>
                <w:rFonts w:ascii="Arial" w:cs="Arial" w:eastAsia="Arial" w:hAnsi="Arial"/>
                <w:b w:val="1"/>
                <w:color w:val="000000"/>
                <w:sz w:val="16"/>
                <w:szCs w:val="16"/>
                <w:rtl w:val="0"/>
              </w:rPr>
              <w:t xml:space="preserve">MEDIANA</w:t>
            </w:r>
            <w:r w:rsidDel="00000000" w:rsidR="00000000" w:rsidRPr="00000000">
              <w:rPr>
                <w:rFonts w:ascii="Arial" w:cs="Arial" w:eastAsia="Arial" w:hAnsi="Arial"/>
                <w:color w:val="000000"/>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9F">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2,28</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A0">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55%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A1">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3,91</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A2">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0,16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A3">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0,07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A4">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Mayor o Igual al 80% del Presupuesto</w:t>
            </w:r>
          </w:p>
        </w:tc>
      </w:tr>
    </w:tbl>
    <w:p w:rsidR="00000000" w:rsidDel="00000000" w:rsidP="00000000" w:rsidRDefault="00000000" w:rsidRPr="00000000" w14:paraId="000004A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113" w:right="318"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A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113" w:right="318"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Una vez realizada la consulta y análisis de la información financiera de la base de datos, la cual arrojó la muestra de las 455 empresas del sector objeto del presente proceso a nivel nacional, se adicionó al análisis de la muestra seleccionada, algunos los indicadores solicitados en diferentes procesos de obra, adecuaciones e infraestructura anteriores adelantados por el SENA a nivel nacional incluidos el Centro Agropecuario La Graja – Regional Tolima, en los últimos tres años con la intención de garantizar el principio de pluralidad de oferentes, pero al mismo tiempo exigiendo indicadores que se encuentren enmarcados dentro de las tendencias financieras del sector tanto a nivel nacional, como regional.</w:t>
      </w:r>
    </w:p>
    <w:p w:rsidR="00000000" w:rsidDel="00000000" w:rsidP="00000000" w:rsidRDefault="00000000" w:rsidRPr="00000000" w14:paraId="000004A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318"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5"/>
        <w:tblW w:w="8625.0" w:type="dxa"/>
        <w:jc w:val="center"/>
        <w:tblLayout w:type="fixed"/>
        <w:tblLook w:val="0400"/>
      </w:tblPr>
      <w:tblGrid>
        <w:gridCol w:w="2258"/>
        <w:gridCol w:w="851"/>
        <w:gridCol w:w="1341"/>
        <w:gridCol w:w="1134"/>
        <w:gridCol w:w="1101"/>
        <w:gridCol w:w="1101"/>
        <w:gridCol w:w="839"/>
        <w:tblGridChange w:id="0">
          <w:tblGrid>
            <w:gridCol w:w="2258"/>
            <w:gridCol w:w="851"/>
            <w:gridCol w:w="1341"/>
            <w:gridCol w:w="1134"/>
            <w:gridCol w:w="1101"/>
            <w:gridCol w:w="1101"/>
            <w:gridCol w:w="839"/>
          </w:tblGrid>
        </w:tblGridChange>
      </w:tblGrid>
      <w:tr>
        <w:trPr>
          <w:cantSplit w:val="0"/>
          <w:trHeight w:val="600" w:hRule="atLeast"/>
          <w:tblHeader w:val="0"/>
        </w:trPr>
        <w:tc>
          <w:tcPr>
            <w:tcBorders>
              <w:top w:color="000000" w:space="0" w:sz="8" w:val="single"/>
              <w:left w:color="000000" w:space="0" w:sz="8" w:val="single"/>
              <w:bottom w:color="000000" w:space="0" w:sz="4" w:val="single"/>
              <w:right w:color="000000" w:space="0" w:sz="8" w:val="single"/>
            </w:tcBorders>
            <w:shd w:fill="auto" w:val="clear"/>
            <w:vAlign w:val="center"/>
          </w:tcPr>
          <w:p w:rsidR="00000000" w:rsidDel="00000000" w:rsidP="00000000" w:rsidRDefault="00000000" w:rsidRPr="00000000" w14:paraId="000004A8">
            <w:pPr>
              <w:jc w:val="right"/>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INDICADOR   --&gt;</w:t>
            </w:r>
          </w:p>
        </w:tc>
        <w:tc>
          <w:tcPr>
            <w:tcBorders>
              <w:top w:color="000000" w:space="0" w:sz="8" w:val="single"/>
              <w:left w:color="000000" w:space="0" w:sz="0" w:val="nil"/>
              <w:bottom w:color="000000" w:space="0" w:sz="4" w:val="single"/>
              <w:right w:color="000000" w:space="0" w:sz="4" w:val="single"/>
            </w:tcBorders>
            <w:shd w:fill="ddebf7" w:val="clear"/>
            <w:vAlign w:val="center"/>
          </w:tcPr>
          <w:p w:rsidR="00000000" w:rsidDel="00000000" w:rsidP="00000000" w:rsidRDefault="00000000" w:rsidRPr="00000000" w14:paraId="000004A9">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Liquidez</w:t>
            </w:r>
          </w:p>
        </w:tc>
        <w:tc>
          <w:tcPr>
            <w:tcBorders>
              <w:top w:color="000000" w:space="0" w:sz="8" w:val="single"/>
              <w:left w:color="000000" w:space="0" w:sz="0" w:val="nil"/>
              <w:bottom w:color="000000" w:space="0" w:sz="4" w:val="single"/>
              <w:right w:color="000000" w:space="0" w:sz="4" w:val="single"/>
            </w:tcBorders>
            <w:shd w:fill="ddebf7" w:val="clear"/>
            <w:vAlign w:val="center"/>
          </w:tcPr>
          <w:p w:rsidR="00000000" w:rsidDel="00000000" w:rsidP="00000000" w:rsidRDefault="00000000" w:rsidRPr="00000000" w14:paraId="000004AA">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Endeudamiento</w:t>
            </w:r>
          </w:p>
        </w:tc>
        <w:tc>
          <w:tcPr>
            <w:tcBorders>
              <w:top w:color="000000" w:space="0" w:sz="8" w:val="single"/>
              <w:left w:color="000000" w:space="0" w:sz="0" w:val="nil"/>
              <w:bottom w:color="000000" w:space="0" w:sz="4" w:val="single"/>
              <w:right w:color="000000" w:space="0" w:sz="4" w:val="single"/>
            </w:tcBorders>
            <w:shd w:fill="ddebf7" w:val="clear"/>
            <w:vAlign w:val="center"/>
          </w:tcPr>
          <w:p w:rsidR="00000000" w:rsidDel="00000000" w:rsidP="00000000" w:rsidRDefault="00000000" w:rsidRPr="00000000" w14:paraId="000004AB">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Cobertura de Interese</w:t>
            </w:r>
          </w:p>
        </w:tc>
        <w:tc>
          <w:tcPr>
            <w:tcBorders>
              <w:top w:color="000000" w:space="0" w:sz="8" w:val="single"/>
              <w:left w:color="000000" w:space="0" w:sz="0" w:val="nil"/>
              <w:bottom w:color="000000" w:space="0" w:sz="4" w:val="single"/>
              <w:right w:color="000000" w:space="0" w:sz="4" w:val="single"/>
            </w:tcBorders>
            <w:shd w:fill="ddebf7" w:val="clear"/>
            <w:vAlign w:val="center"/>
          </w:tcPr>
          <w:p w:rsidR="00000000" w:rsidDel="00000000" w:rsidP="00000000" w:rsidRDefault="00000000" w:rsidRPr="00000000" w14:paraId="000004AC">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Rentabilidad Patrimonio</w:t>
            </w:r>
          </w:p>
        </w:tc>
        <w:tc>
          <w:tcPr>
            <w:tcBorders>
              <w:top w:color="000000" w:space="0" w:sz="8" w:val="single"/>
              <w:left w:color="000000" w:space="0" w:sz="0" w:val="nil"/>
              <w:bottom w:color="000000" w:space="0" w:sz="4" w:val="single"/>
              <w:right w:color="000000" w:space="0" w:sz="4" w:val="single"/>
            </w:tcBorders>
            <w:shd w:fill="ddebf7" w:val="clear"/>
            <w:vAlign w:val="center"/>
          </w:tcPr>
          <w:p w:rsidR="00000000" w:rsidDel="00000000" w:rsidP="00000000" w:rsidRDefault="00000000" w:rsidRPr="00000000" w14:paraId="000004AD">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Rentabilidad del Activo</w:t>
            </w:r>
          </w:p>
        </w:tc>
        <w:tc>
          <w:tcPr>
            <w:tcBorders>
              <w:top w:color="000000" w:space="0" w:sz="8" w:val="single"/>
              <w:left w:color="000000" w:space="0" w:sz="0" w:val="nil"/>
              <w:bottom w:color="000000" w:space="0" w:sz="4" w:val="single"/>
              <w:right w:color="000000" w:space="0" w:sz="8" w:val="single"/>
            </w:tcBorders>
            <w:shd w:fill="ddebf7" w:val="clear"/>
            <w:vAlign w:val="center"/>
          </w:tcPr>
          <w:p w:rsidR="00000000" w:rsidDel="00000000" w:rsidP="00000000" w:rsidRDefault="00000000" w:rsidRPr="00000000" w14:paraId="000004AE">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Capital de Trabajo</w:t>
            </w:r>
          </w:p>
        </w:tc>
      </w:tr>
      <w:tr>
        <w:trPr>
          <w:cantSplit w:val="0"/>
          <w:trHeight w:val="499" w:hRule="atLeast"/>
          <w:tblHeader w:val="0"/>
        </w:trPr>
        <w:tc>
          <w:tcPr>
            <w:tcBorders>
              <w:top w:color="000000" w:space="0" w:sz="4" w:val="single"/>
              <w:left w:color="000000" w:space="0" w:sz="8" w:val="single"/>
              <w:bottom w:color="000000" w:space="0" w:sz="4" w:val="single"/>
              <w:right w:color="000000" w:space="0" w:sz="8" w:val="single"/>
            </w:tcBorders>
            <w:shd w:fill="auto" w:val="clear"/>
          </w:tcPr>
          <w:p w:rsidR="00000000" w:rsidDel="00000000" w:rsidP="00000000" w:rsidRDefault="00000000" w:rsidRPr="00000000" w14:paraId="000004A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Proceso Obra APE-Cali </w:t>
              <w:br w:type="textWrapping"/>
              <w:t xml:space="preserve">SAMC-VLL-0007-2022</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B0">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1,30</w:t>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4B1">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70%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B2">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2,50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B3">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0,03</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B4">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0,03</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4B5">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65%</w:t>
            </w:r>
          </w:p>
        </w:tc>
      </w:tr>
      <w:tr>
        <w:trPr>
          <w:cantSplit w:val="0"/>
          <w:trHeight w:val="499" w:hRule="atLeast"/>
          <w:tblHeader w:val="0"/>
        </w:trPr>
        <w:tc>
          <w:tcPr>
            <w:tcBorders>
              <w:top w:color="000000" w:space="0" w:sz="4" w:val="single"/>
              <w:left w:color="000000" w:space="0" w:sz="8" w:val="single"/>
              <w:bottom w:color="000000" w:space="0" w:sz="4" w:val="single"/>
              <w:right w:color="000000" w:space="0" w:sz="8" w:val="single"/>
            </w:tcBorders>
            <w:shd w:fill="auto" w:val="clear"/>
          </w:tcPr>
          <w:p w:rsidR="00000000" w:rsidDel="00000000" w:rsidP="00000000" w:rsidRDefault="00000000" w:rsidRPr="00000000" w14:paraId="000004B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Proceso Obra Atlántico</w:t>
              <w:br w:type="textWrapping"/>
              <w:t xml:space="preserve">SAMC-ATL-0040-2021</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B7">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1,50</w:t>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4B8">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59%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B9">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2,00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BA">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BB">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0,08</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4BC">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tc>
      </w:tr>
      <w:tr>
        <w:trPr>
          <w:cantSplit w:val="0"/>
          <w:trHeight w:val="499" w:hRule="atLeast"/>
          <w:tblHeader w:val="0"/>
        </w:trPr>
        <w:tc>
          <w:tcPr>
            <w:tcBorders>
              <w:top w:color="000000" w:space="0" w:sz="4" w:val="single"/>
              <w:left w:color="000000" w:space="0" w:sz="8" w:val="single"/>
              <w:bottom w:color="000000" w:space="0" w:sz="4" w:val="single"/>
              <w:right w:color="000000" w:space="0" w:sz="8" w:val="single"/>
            </w:tcBorders>
            <w:shd w:fill="auto" w:val="clear"/>
          </w:tcPr>
          <w:p w:rsidR="00000000" w:rsidDel="00000000" w:rsidP="00000000" w:rsidRDefault="00000000" w:rsidRPr="00000000" w14:paraId="000004B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Proceso Obras CALG-2022</w:t>
              <w:br w:type="textWrapping"/>
              <w:t xml:space="preserve">SAMC-TLM-CAG-015-2022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BE">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1,40</w:t>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4BF">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30%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C0">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10,00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C1">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C2">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0,10</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4C3">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tc>
      </w:tr>
      <w:tr>
        <w:trPr>
          <w:cantSplit w:val="0"/>
          <w:trHeight w:val="499" w:hRule="atLeast"/>
          <w:tblHeader w:val="0"/>
        </w:trPr>
        <w:tc>
          <w:tcPr>
            <w:tcBorders>
              <w:top w:color="000000" w:space="0" w:sz="4" w:val="single"/>
              <w:left w:color="000000" w:space="0" w:sz="8" w:val="single"/>
              <w:bottom w:color="000000" w:space="0" w:sz="4" w:val="single"/>
              <w:right w:color="000000" w:space="0" w:sz="8" w:val="single"/>
            </w:tcBorders>
            <w:shd w:fill="auto" w:val="clear"/>
          </w:tcPr>
          <w:p w:rsidR="00000000" w:rsidDel="00000000" w:rsidP="00000000" w:rsidRDefault="00000000" w:rsidRPr="00000000" w14:paraId="000004C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Proceso Obra Huila</w:t>
              <w:br w:type="textWrapping"/>
              <w:t xml:space="preserve">SAMC-HIL-CEFA-0004-2022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C5">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1,00</w:t>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4C6">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60%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C7">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C8">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C9">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0,00</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4CA">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tc>
      </w:tr>
      <w:tr>
        <w:trPr>
          <w:cantSplit w:val="0"/>
          <w:trHeight w:val="499" w:hRule="atLeast"/>
          <w:tblHeader w:val="0"/>
        </w:trPr>
        <w:tc>
          <w:tcPr>
            <w:tcBorders>
              <w:top w:color="000000" w:space="0" w:sz="4"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4C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Proceso Obra Quindío</w:t>
              <w:br w:type="textWrapping"/>
              <w:t xml:space="preserve">SAMC-QDO-CDTCI-027-2022</w:t>
            </w:r>
          </w:p>
        </w:tc>
        <w:tc>
          <w:tcPr>
            <w:tcBorders>
              <w:top w:color="000000" w:space="0" w:sz="4" w:val="single"/>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4CC">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2,55</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4CD">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52%</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4CE">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6,53</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4CF">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0,09</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4D0">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0,07</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4D1">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tc>
      </w:tr>
    </w:tbl>
    <w:p w:rsidR="00000000" w:rsidDel="00000000" w:rsidP="00000000" w:rsidRDefault="00000000" w:rsidRPr="00000000" w14:paraId="000004D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113" w:right="318"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D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113" w:right="318"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Posteriormente la Entidad, tomó los datos arrojados por la base de datos seleccionada de la Superintendencia de Sociedades, incluyendo los indicadores financieros de los procesos adelantados por la Entidad a nivel nacional y regional, consolidando el análisis de manera que se pudieran establecer los siguientes indicadores para el proceso a adelantar en esta vigencia.  </w:t>
      </w:r>
    </w:p>
    <w:p w:rsidR="00000000" w:rsidDel="00000000" w:rsidP="00000000" w:rsidRDefault="00000000" w:rsidRPr="00000000" w14:paraId="000004D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113" w:right="318"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16"/>
        <w:tblW w:w="8489.0" w:type="dxa"/>
        <w:jc w:val="left"/>
        <w:tblLayout w:type="fixed"/>
        <w:tblLook w:val="0400"/>
      </w:tblPr>
      <w:tblGrid>
        <w:gridCol w:w="1062"/>
        <w:gridCol w:w="1056"/>
        <w:gridCol w:w="287"/>
        <w:gridCol w:w="851"/>
        <w:gridCol w:w="1134"/>
        <w:gridCol w:w="992"/>
        <w:gridCol w:w="992"/>
        <w:gridCol w:w="992"/>
        <w:gridCol w:w="1123"/>
        <w:tblGridChange w:id="0">
          <w:tblGrid>
            <w:gridCol w:w="1062"/>
            <w:gridCol w:w="1056"/>
            <w:gridCol w:w="287"/>
            <w:gridCol w:w="851"/>
            <w:gridCol w:w="1134"/>
            <w:gridCol w:w="992"/>
            <w:gridCol w:w="992"/>
            <w:gridCol w:w="992"/>
            <w:gridCol w:w="1123"/>
          </w:tblGrid>
        </w:tblGridChange>
      </w:tblGrid>
      <w:tr>
        <w:trPr>
          <w:cantSplit w:val="0"/>
          <w:trHeight w:val="60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4D5">
            <w:pPr>
              <w:jc w:val="right"/>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INDICADOR   -&gt;  </w:t>
            </w:r>
          </w:p>
        </w:tc>
        <w:tc>
          <w:tcPr>
            <w:tcBorders>
              <w:top w:color="000000" w:space="0" w:sz="8" w:val="single"/>
              <w:left w:color="000000" w:space="0" w:sz="8" w:val="single"/>
              <w:bottom w:color="000000" w:space="0" w:sz="4" w:val="single"/>
              <w:right w:color="000000" w:space="0" w:sz="4" w:val="single"/>
            </w:tcBorders>
            <w:shd w:fill="ddebf7" w:val="clear"/>
            <w:vAlign w:val="center"/>
          </w:tcPr>
          <w:p w:rsidR="00000000" w:rsidDel="00000000" w:rsidP="00000000" w:rsidRDefault="00000000" w:rsidRPr="00000000" w14:paraId="000004D8">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Liquidez</w:t>
            </w:r>
          </w:p>
        </w:tc>
        <w:tc>
          <w:tcPr>
            <w:tcBorders>
              <w:top w:color="000000" w:space="0" w:sz="8" w:val="single"/>
              <w:left w:color="000000" w:space="0" w:sz="0" w:val="nil"/>
              <w:bottom w:color="000000" w:space="0" w:sz="4" w:val="single"/>
              <w:right w:color="000000" w:space="0" w:sz="4" w:val="single"/>
            </w:tcBorders>
            <w:shd w:fill="ddebf7" w:val="clear"/>
            <w:vAlign w:val="center"/>
          </w:tcPr>
          <w:p w:rsidR="00000000" w:rsidDel="00000000" w:rsidP="00000000" w:rsidRDefault="00000000" w:rsidRPr="00000000" w14:paraId="000004D9">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Endeuda- miento</w:t>
            </w:r>
          </w:p>
        </w:tc>
        <w:tc>
          <w:tcPr>
            <w:tcBorders>
              <w:top w:color="000000" w:space="0" w:sz="8" w:val="single"/>
              <w:left w:color="000000" w:space="0" w:sz="0" w:val="nil"/>
              <w:bottom w:color="000000" w:space="0" w:sz="4" w:val="single"/>
              <w:right w:color="000000" w:space="0" w:sz="4" w:val="single"/>
            </w:tcBorders>
            <w:shd w:fill="ddebf7" w:val="clear"/>
            <w:vAlign w:val="center"/>
          </w:tcPr>
          <w:p w:rsidR="00000000" w:rsidDel="00000000" w:rsidP="00000000" w:rsidRDefault="00000000" w:rsidRPr="00000000" w14:paraId="000004DA">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Cobertura de Interese</w:t>
            </w:r>
          </w:p>
        </w:tc>
        <w:tc>
          <w:tcPr>
            <w:tcBorders>
              <w:top w:color="000000" w:space="0" w:sz="8" w:val="single"/>
              <w:left w:color="000000" w:space="0" w:sz="0" w:val="nil"/>
              <w:bottom w:color="000000" w:space="0" w:sz="4" w:val="single"/>
              <w:right w:color="000000" w:space="0" w:sz="4" w:val="single"/>
            </w:tcBorders>
            <w:shd w:fill="ddebf7" w:val="clear"/>
            <w:vAlign w:val="center"/>
          </w:tcPr>
          <w:p w:rsidR="00000000" w:rsidDel="00000000" w:rsidP="00000000" w:rsidRDefault="00000000" w:rsidRPr="00000000" w14:paraId="000004DB">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Rentabilidad Patrimonio</w:t>
            </w:r>
          </w:p>
        </w:tc>
        <w:tc>
          <w:tcPr>
            <w:tcBorders>
              <w:top w:color="000000" w:space="0" w:sz="8" w:val="single"/>
              <w:left w:color="000000" w:space="0" w:sz="0" w:val="nil"/>
              <w:bottom w:color="000000" w:space="0" w:sz="4" w:val="single"/>
              <w:right w:color="000000" w:space="0" w:sz="4" w:val="single"/>
            </w:tcBorders>
            <w:shd w:fill="ddebf7" w:val="clear"/>
            <w:vAlign w:val="center"/>
          </w:tcPr>
          <w:p w:rsidR="00000000" w:rsidDel="00000000" w:rsidP="00000000" w:rsidRDefault="00000000" w:rsidRPr="00000000" w14:paraId="000004DC">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Rentabilidad del Activo</w:t>
            </w:r>
          </w:p>
        </w:tc>
        <w:tc>
          <w:tcPr>
            <w:tcBorders>
              <w:top w:color="000000" w:space="0" w:sz="8" w:val="single"/>
              <w:left w:color="000000" w:space="0" w:sz="0" w:val="nil"/>
              <w:bottom w:color="000000" w:space="0" w:sz="4" w:val="single"/>
              <w:right w:color="000000" w:space="0" w:sz="8" w:val="single"/>
            </w:tcBorders>
            <w:shd w:fill="ddebf7" w:val="clear"/>
            <w:vAlign w:val="center"/>
          </w:tcPr>
          <w:p w:rsidR="00000000" w:rsidDel="00000000" w:rsidP="00000000" w:rsidRDefault="00000000" w:rsidRPr="00000000" w14:paraId="000004DD">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Capital de Trabajo</w:t>
            </w:r>
          </w:p>
        </w:tc>
      </w:tr>
      <w:tr>
        <w:trPr>
          <w:cantSplit w:val="0"/>
          <w:trHeight w:val="66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4DE">
            <w:pPr>
              <w:jc w:val="right"/>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Formula   -&gt; </w:t>
            </w:r>
          </w:p>
        </w:tc>
        <w:tc>
          <w:tcPr>
            <w:tcBorders>
              <w:top w:color="000000" w:space="0" w:sz="0" w:val="nil"/>
              <w:left w:color="000000" w:space="0" w:sz="8" w:val="single"/>
              <w:bottom w:color="000000" w:space="0" w:sz="8" w:val="single"/>
              <w:right w:color="000000" w:space="0" w:sz="4" w:val="single"/>
            </w:tcBorders>
            <w:shd w:fill="ddebf7" w:val="clear"/>
            <w:vAlign w:val="center"/>
          </w:tcPr>
          <w:p w:rsidR="00000000" w:rsidDel="00000000" w:rsidP="00000000" w:rsidRDefault="00000000" w:rsidRPr="00000000" w14:paraId="000004E1">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(ACT CTE / PAS CTE)</w:t>
            </w:r>
          </w:p>
        </w:tc>
        <w:tc>
          <w:tcPr>
            <w:tcBorders>
              <w:top w:color="000000" w:space="0" w:sz="0" w:val="nil"/>
              <w:left w:color="000000" w:space="0" w:sz="0" w:val="nil"/>
              <w:bottom w:color="000000" w:space="0" w:sz="8" w:val="single"/>
              <w:right w:color="000000" w:space="0" w:sz="4" w:val="single"/>
            </w:tcBorders>
            <w:shd w:fill="ddebf7" w:val="clear"/>
            <w:vAlign w:val="center"/>
          </w:tcPr>
          <w:p w:rsidR="00000000" w:rsidDel="00000000" w:rsidP="00000000" w:rsidRDefault="00000000" w:rsidRPr="00000000" w14:paraId="000004E2">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(PAS TOTAL / ACT TOTAL)</w:t>
            </w:r>
          </w:p>
        </w:tc>
        <w:tc>
          <w:tcPr>
            <w:tcBorders>
              <w:top w:color="000000" w:space="0" w:sz="0" w:val="nil"/>
              <w:left w:color="000000" w:space="0" w:sz="0" w:val="nil"/>
              <w:bottom w:color="000000" w:space="0" w:sz="8" w:val="single"/>
              <w:right w:color="000000" w:space="0" w:sz="4" w:val="single"/>
            </w:tcBorders>
            <w:shd w:fill="ddebf7" w:val="clear"/>
            <w:vAlign w:val="center"/>
          </w:tcPr>
          <w:p w:rsidR="00000000" w:rsidDel="00000000" w:rsidP="00000000" w:rsidRDefault="00000000" w:rsidRPr="00000000" w14:paraId="000004E3">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(UTIL OPER / GASTOS FINANCIEROS)</w:t>
            </w:r>
          </w:p>
        </w:tc>
        <w:tc>
          <w:tcPr>
            <w:tcBorders>
              <w:top w:color="000000" w:space="0" w:sz="0" w:val="nil"/>
              <w:left w:color="000000" w:space="0" w:sz="0" w:val="nil"/>
              <w:bottom w:color="000000" w:space="0" w:sz="8" w:val="single"/>
              <w:right w:color="000000" w:space="0" w:sz="4" w:val="single"/>
            </w:tcBorders>
            <w:shd w:fill="ddebf7" w:val="clear"/>
            <w:vAlign w:val="center"/>
          </w:tcPr>
          <w:p w:rsidR="00000000" w:rsidDel="00000000" w:rsidP="00000000" w:rsidRDefault="00000000" w:rsidRPr="00000000" w14:paraId="000004E4">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(UTIL OPER / PATRIMONIO)</w:t>
            </w:r>
          </w:p>
        </w:tc>
        <w:tc>
          <w:tcPr>
            <w:tcBorders>
              <w:top w:color="000000" w:space="0" w:sz="0" w:val="nil"/>
              <w:left w:color="000000" w:space="0" w:sz="0" w:val="nil"/>
              <w:bottom w:color="000000" w:space="0" w:sz="8" w:val="single"/>
              <w:right w:color="000000" w:space="0" w:sz="4" w:val="single"/>
            </w:tcBorders>
            <w:shd w:fill="ddebf7" w:val="clear"/>
            <w:vAlign w:val="center"/>
          </w:tcPr>
          <w:p w:rsidR="00000000" w:rsidDel="00000000" w:rsidP="00000000" w:rsidRDefault="00000000" w:rsidRPr="00000000" w14:paraId="000004E5">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(UTIL OPER / ACTIVO)</w:t>
            </w:r>
          </w:p>
        </w:tc>
        <w:tc>
          <w:tcPr>
            <w:tcBorders>
              <w:top w:color="000000" w:space="0" w:sz="0" w:val="nil"/>
              <w:left w:color="000000" w:space="0" w:sz="0" w:val="nil"/>
              <w:bottom w:color="000000" w:space="0" w:sz="8" w:val="single"/>
              <w:right w:color="000000" w:space="0" w:sz="8" w:val="single"/>
            </w:tcBorders>
            <w:shd w:fill="ddebf7" w:val="clear"/>
            <w:vAlign w:val="center"/>
          </w:tcPr>
          <w:p w:rsidR="00000000" w:rsidDel="00000000" w:rsidP="00000000" w:rsidRDefault="00000000" w:rsidRPr="00000000" w14:paraId="000004E6">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(ACT CTE - PAS CTE) / Presupuesto del Proceso</w:t>
            </w:r>
          </w:p>
        </w:tc>
      </w:tr>
      <w:tr>
        <w:trPr>
          <w:cantSplit w:val="0"/>
          <w:trHeight w:val="499"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4E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Análisis Base de datos </w:t>
            </w:r>
          </w:p>
          <w:p w:rsidR="00000000" w:rsidDel="00000000" w:rsidP="00000000" w:rsidRDefault="00000000" w:rsidRPr="00000000" w14:paraId="000004E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Superintendencia de Sociedades</w:t>
            </w:r>
          </w:p>
        </w:tc>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4EB">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2,28</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EC">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55%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ED">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3,91</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EE">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0,16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EF">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0,07</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4F0">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80%</w:t>
            </w:r>
          </w:p>
        </w:tc>
      </w:tr>
      <w:tr>
        <w:trPr>
          <w:cantSplit w:val="0"/>
          <w:trHeight w:val="499"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4F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Proceso Obra APE-Cali </w:t>
              <w:br w:type="textWrapping"/>
              <w:t xml:space="preserve">SAMC-VLL-0007-2022</w:t>
            </w:r>
          </w:p>
        </w:tc>
        <w:tc>
          <w:tcPr>
            <w:tcBorders>
              <w:top w:color="000000" w:space="0" w:sz="4"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4F4">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1,30</w:t>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4F5">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70%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F6">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2,50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F7">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0,03</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F8">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0,03</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4F9">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65%</w:t>
            </w:r>
          </w:p>
        </w:tc>
      </w:tr>
      <w:tr>
        <w:trPr>
          <w:cantSplit w:val="0"/>
          <w:trHeight w:val="499"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4F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Proceso Obra Atlántico</w:t>
              <w:br w:type="textWrapping"/>
              <w:t xml:space="preserve">SAMC-ATL-0040-2021</w:t>
            </w:r>
          </w:p>
        </w:tc>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4FD">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1,50</w:t>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4FE">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59%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FF">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2,00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00">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01">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0,08</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502">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tc>
      </w:tr>
      <w:tr>
        <w:trPr>
          <w:cantSplit w:val="0"/>
          <w:trHeight w:val="499"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50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Proceso Obras CALG-2022</w:t>
              <w:br w:type="textWrapping"/>
              <w:t xml:space="preserve">SAMC-TLM-CAG-015-2022</w:t>
            </w:r>
          </w:p>
        </w:tc>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506">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1,40</w:t>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07">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30%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08">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10,00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09">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0A">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0,10</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50B">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tc>
      </w:tr>
      <w:tr>
        <w:trPr>
          <w:cantSplit w:val="0"/>
          <w:trHeight w:val="499"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50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Proceso Obra Huila</w:t>
              <w:br w:type="textWrapping"/>
              <w:t xml:space="preserve">SAMC-HIL-CEFA-0004-2022</w:t>
            </w:r>
          </w:p>
        </w:tc>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50F">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1,00</w:t>
            </w:r>
          </w:p>
        </w:tc>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10">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60%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11">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12">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13">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0,00</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514">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tc>
      </w:tr>
      <w:tr>
        <w:trPr>
          <w:cantSplit w:val="0"/>
          <w:trHeight w:val="499"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51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Proceso Obra Quindío</w:t>
              <w:br w:type="textWrapping"/>
              <w:t xml:space="preserve">SAMC-QDO-CDTCI-027-2022</w:t>
            </w:r>
          </w:p>
        </w:tc>
        <w:tc>
          <w:tcPr>
            <w:tcBorders>
              <w:top w:color="000000" w:space="0" w:sz="4" w:val="single"/>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518">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2,55</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519">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52%</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51A">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6,53</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51B">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0,09</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51C">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0,07</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51D">
            <w:pPr>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tc>
      </w:tr>
      <w:tr>
        <w:trPr>
          <w:cantSplit w:val="0"/>
          <w:trHeight w:val="402"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1E">
            <w:pP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INDICADORES PROCESO OBRA 2023</w:t>
            </w:r>
          </w:p>
        </w:tc>
        <w:tc>
          <w:tcPr>
            <w:tcBorders>
              <w:top w:color="000000" w:space="0" w:sz="0" w:val="nil"/>
              <w:left w:color="000000" w:space="0" w:sz="8" w:val="single"/>
              <w:bottom w:color="000000" w:space="0" w:sz="8" w:val="single"/>
              <w:right w:color="000000" w:space="0" w:sz="4" w:val="single"/>
            </w:tcBorders>
            <w:shd w:fill="ddebf7" w:val="clear"/>
            <w:vAlign w:val="center"/>
          </w:tcPr>
          <w:p w:rsidR="00000000" w:rsidDel="00000000" w:rsidP="00000000" w:rsidRDefault="00000000" w:rsidRPr="00000000" w14:paraId="00000521">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1,67</w:t>
            </w:r>
          </w:p>
        </w:tc>
        <w:tc>
          <w:tcPr>
            <w:tcBorders>
              <w:top w:color="000000" w:space="0" w:sz="0" w:val="nil"/>
              <w:left w:color="000000" w:space="0" w:sz="0" w:val="nil"/>
              <w:bottom w:color="000000" w:space="0" w:sz="8" w:val="single"/>
              <w:right w:color="000000" w:space="0" w:sz="4" w:val="single"/>
            </w:tcBorders>
            <w:shd w:fill="ddebf7" w:val="clear"/>
            <w:vAlign w:val="center"/>
          </w:tcPr>
          <w:p w:rsidR="00000000" w:rsidDel="00000000" w:rsidP="00000000" w:rsidRDefault="00000000" w:rsidRPr="00000000" w14:paraId="00000522">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54%</w:t>
            </w:r>
          </w:p>
        </w:tc>
        <w:tc>
          <w:tcPr>
            <w:tcBorders>
              <w:top w:color="000000" w:space="0" w:sz="0" w:val="nil"/>
              <w:left w:color="000000" w:space="0" w:sz="8" w:val="single"/>
              <w:bottom w:color="000000" w:space="0" w:sz="8" w:val="single"/>
              <w:right w:color="000000" w:space="0" w:sz="4" w:val="single"/>
            </w:tcBorders>
            <w:shd w:fill="ddebf7" w:val="clear"/>
            <w:vAlign w:val="center"/>
          </w:tcPr>
          <w:p w:rsidR="00000000" w:rsidDel="00000000" w:rsidP="00000000" w:rsidRDefault="00000000" w:rsidRPr="00000000" w14:paraId="00000523">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4,16</w:t>
            </w:r>
          </w:p>
        </w:tc>
        <w:tc>
          <w:tcPr>
            <w:tcBorders>
              <w:top w:color="000000" w:space="0" w:sz="0" w:val="nil"/>
              <w:left w:color="000000" w:space="0" w:sz="8" w:val="single"/>
              <w:bottom w:color="000000" w:space="0" w:sz="8" w:val="single"/>
              <w:right w:color="000000" w:space="0" w:sz="4" w:val="single"/>
            </w:tcBorders>
            <w:shd w:fill="ddebf7" w:val="clear"/>
            <w:vAlign w:val="center"/>
          </w:tcPr>
          <w:p w:rsidR="00000000" w:rsidDel="00000000" w:rsidP="00000000" w:rsidRDefault="00000000" w:rsidRPr="00000000" w14:paraId="00000524">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0,08</w:t>
            </w:r>
          </w:p>
        </w:tc>
        <w:tc>
          <w:tcPr>
            <w:tcBorders>
              <w:top w:color="000000" w:space="0" w:sz="0" w:val="nil"/>
              <w:left w:color="000000" w:space="0" w:sz="8" w:val="single"/>
              <w:bottom w:color="000000" w:space="0" w:sz="8" w:val="single"/>
              <w:right w:color="000000" w:space="0" w:sz="4" w:val="single"/>
            </w:tcBorders>
            <w:shd w:fill="ddebf7" w:val="clear"/>
            <w:vAlign w:val="center"/>
          </w:tcPr>
          <w:p w:rsidR="00000000" w:rsidDel="00000000" w:rsidP="00000000" w:rsidRDefault="00000000" w:rsidRPr="00000000" w14:paraId="00000525">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0,06</w:t>
            </w:r>
          </w:p>
        </w:tc>
        <w:tc>
          <w:tcPr>
            <w:tcBorders>
              <w:top w:color="000000" w:space="0" w:sz="0" w:val="nil"/>
              <w:left w:color="000000" w:space="0" w:sz="0" w:val="nil"/>
              <w:bottom w:color="000000" w:space="0" w:sz="8" w:val="single"/>
              <w:right w:color="000000" w:space="0" w:sz="4" w:val="single"/>
            </w:tcBorders>
            <w:shd w:fill="ddebf7" w:val="clear"/>
            <w:vAlign w:val="center"/>
          </w:tcPr>
          <w:p w:rsidR="00000000" w:rsidDel="00000000" w:rsidP="00000000" w:rsidRDefault="00000000" w:rsidRPr="00000000" w14:paraId="00000526">
            <w:pPr>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73%</w:t>
            </w:r>
          </w:p>
        </w:tc>
      </w:tr>
      <w:tr>
        <w:trPr>
          <w:cantSplit w:val="0"/>
          <w:trHeight w:val="402" w:hRule="atLeast"/>
          <w:tblHeader w:val="0"/>
        </w:trPr>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27">
            <w:pPr>
              <w:jc w:val="center"/>
              <w:rPr>
                <w:rFonts w:ascii="Arial" w:cs="Arial" w:eastAsia="Arial" w:hAnsi="Arial"/>
                <w:b w:val="1"/>
                <w:color w:val="000000"/>
                <w:sz w:val="16"/>
                <w:szCs w:val="1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28">
            <w:pPr>
              <w:rPr>
                <w:rFonts w:ascii="Arial" w:cs="Arial" w:eastAsia="Arial" w:hAnsi="Arial"/>
                <w:sz w:val="16"/>
                <w:szCs w:val="1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29">
            <w:pPr>
              <w:rPr>
                <w:rFonts w:ascii="Arial" w:cs="Arial" w:eastAsia="Arial" w:hAnsi="Arial"/>
                <w:sz w:val="16"/>
                <w:szCs w:val="1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2A">
            <w:pPr>
              <w:jc w:val="center"/>
              <w:rPr>
                <w:rFonts w:ascii="Arial" w:cs="Arial" w:eastAsia="Arial" w:hAnsi="Arial"/>
                <w:color w:val="000000"/>
                <w:sz w:val="16"/>
                <w:szCs w:val="16"/>
              </w:rPr>
            </w:pPr>
            <w:r w:rsidDel="00000000" w:rsidR="00000000" w:rsidRPr="00000000">
              <w:rPr>
                <w:rFonts w:ascii="Arial Unicode MS" w:cs="Arial Unicode MS" w:eastAsia="Arial Unicode MS" w:hAnsi="Arial Unicode MS"/>
                <w:color w:val="000000"/>
                <w:sz w:val="16"/>
                <w:szCs w:val="16"/>
                <w:rtl w:val="0"/>
              </w:rPr>
              <w:t xml:space="preserve">≥</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2B">
            <w:pPr>
              <w:jc w:val="center"/>
              <w:rPr>
                <w:rFonts w:ascii="Arial" w:cs="Arial" w:eastAsia="Arial" w:hAnsi="Arial"/>
                <w:color w:val="000000"/>
                <w:sz w:val="16"/>
                <w:szCs w:val="16"/>
              </w:rPr>
            </w:pPr>
            <w:r w:rsidDel="00000000" w:rsidR="00000000" w:rsidRPr="00000000">
              <w:rPr>
                <w:rFonts w:ascii="Arial Unicode MS" w:cs="Arial Unicode MS" w:eastAsia="Arial Unicode MS" w:hAnsi="Arial Unicode MS"/>
                <w:color w:val="000000"/>
                <w:sz w:val="16"/>
                <w:szCs w:val="16"/>
                <w:rtl w:val="0"/>
              </w:rPr>
              <w:t xml:space="preserve">≤</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2C">
            <w:pPr>
              <w:jc w:val="center"/>
              <w:rPr>
                <w:rFonts w:ascii="Arial" w:cs="Arial" w:eastAsia="Arial" w:hAnsi="Arial"/>
                <w:color w:val="000000"/>
                <w:sz w:val="16"/>
                <w:szCs w:val="16"/>
              </w:rPr>
            </w:pPr>
            <w:r w:rsidDel="00000000" w:rsidR="00000000" w:rsidRPr="00000000">
              <w:rPr>
                <w:rFonts w:ascii="Arial Unicode MS" w:cs="Arial Unicode MS" w:eastAsia="Arial Unicode MS" w:hAnsi="Arial Unicode MS"/>
                <w:color w:val="000000"/>
                <w:sz w:val="16"/>
                <w:szCs w:val="16"/>
                <w:rtl w:val="0"/>
              </w:rPr>
              <w:t xml:space="preserve">≥</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2D">
            <w:pPr>
              <w:jc w:val="center"/>
              <w:rPr>
                <w:rFonts w:ascii="Arial" w:cs="Arial" w:eastAsia="Arial" w:hAnsi="Arial"/>
                <w:color w:val="000000"/>
                <w:sz w:val="16"/>
                <w:szCs w:val="16"/>
              </w:rPr>
            </w:pPr>
            <w:r w:rsidDel="00000000" w:rsidR="00000000" w:rsidRPr="00000000">
              <w:rPr>
                <w:rFonts w:ascii="Arial Unicode MS" w:cs="Arial Unicode MS" w:eastAsia="Arial Unicode MS" w:hAnsi="Arial Unicode MS"/>
                <w:color w:val="000000"/>
                <w:sz w:val="16"/>
                <w:szCs w:val="16"/>
                <w:rtl w:val="0"/>
              </w:rPr>
              <w:t xml:space="preserve">≥</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2E">
            <w:pPr>
              <w:jc w:val="center"/>
              <w:rPr>
                <w:rFonts w:ascii="Arial" w:cs="Arial" w:eastAsia="Arial" w:hAnsi="Arial"/>
                <w:color w:val="000000"/>
                <w:sz w:val="16"/>
                <w:szCs w:val="16"/>
              </w:rPr>
            </w:pPr>
            <w:r w:rsidDel="00000000" w:rsidR="00000000" w:rsidRPr="00000000">
              <w:rPr>
                <w:rFonts w:ascii="Arial Unicode MS" w:cs="Arial Unicode MS" w:eastAsia="Arial Unicode MS" w:hAnsi="Arial Unicode MS"/>
                <w:color w:val="000000"/>
                <w:sz w:val="16"/>
                <w:szCs w:val="16"/>
                <w:rtl w:val="0"/>
              </w:rPr>
              <w:t xml:space="preserve">≥</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2F">
            <w:pPr>
              <w:jc w:val="center"/>
              <w:rPr>
                <w:rFonts w:ascii="Arial" w:cs="Arial" w:eastAsia="Arial" w:hAnsi="Arial"/>
                <w:color w:val="000000"/>
                <w:sz w:val="16"/>
                <w:szCs w:val="16"/>
              </w:rPr>
            </w:pPr>
            <w:r w:rsidDel="00000000" w:rsidR="00000000" w:rsidRPr="00000000">
              <w:rPr>
                <w:rFonts w:ascii="Arial Unicode MS" w:cs="Arial Unicode MS" w:eastAsia="Arial Unicode MS" w:hAnsi="Arial Unicode MS"/>
                <w:color w:val="000000"/>
                <w:sz w:val="16"/>
                <w:szCs w:val="16"/>
                <w:rtl w:val="0"/>
              </w:rPr>
              <w:t xml:space="preserve">≥</w:t>
            </w:r>
          </w:p>
        </w:tc>
      </w:tr>
    </w:tbl>
    <w:p w:rsidR="00000000" w:rsidDel="00000000" w:rsidP="00000000" w:rsidRDefault="00000000" w:rsidRPr="00000000" w14:paraId="00000530">
      <w:pPr>
        <w:tabs>
          <w:tab w:val="left" w:leader="none" w:pos="0"/>
          <w:tab w:val="left" w:leader="none" w:pos="284"/>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Respecto al Indicador del </w:t>
      </w:r>
      <w:r w:rsidDel="00000000" w:rsidR="00000000" w:rsidRPr="00000000">
        <w:rPr>
          <w:rFonts w:ascii="Arial" w:cs="Arial" w:eastAsia="Arial" w:hAnsi="Arial"/>
          <w:b w:val="1"/>
          <w:sz w:val="22"/>
          <w:szCs w:val="22"/>
          <w:rtl w:val="0"/>
        </w:rPr>
        <w:t xml:space="preserve">Capital de Trabajo</w:t>
      </w:r>
      <w:r w:rsidDel="00000000" w:rsidR="00000000" w:rsidRPr="00000000">
        <w:rPr>
          <w:rFonts w:ascii="Arial" w:cs="Arial" w:eastAsia="Arial" w:hAnsi="Arial"/>
          <w:sz w:val="22"/>
          <w:szCs w:val="22"/>
          <w:rtl w:val="0"/>
        </w:rPr>
        <w:t xml:space="preserve">, teniendo en cuenta que este indicador representa la liquidez operativa del proponente, es decir el remanente del proponente luego de liquidar sus activos corrientes (convertirlos en efectivo) y pagar el pasivo de corto plazo, contribuyendo con el desarrollo eficiente de la actividad económica del proponente y a fin de garantizar la correcta y eficiente ejecución del contrato, la Entidad consideró pertinente establecer a partir del resultado arrojado en los análisis descritos anteriormente, un indicador del </w:t>
      </w:r>
      <w:r w:rsidDel="00000000" w:rsidR="00000000" w:rsidRPr="00000000">
        <w:rPr>
          <w:rFonts w:ascii="Arial" w:cs="Arial" w:eastAsia="Arial" w:hAnsi="Arial"/>
          <w:b w:val="1"/>
          <w:sz w:val="22"/>
          <w:szCs w:val="22"/>
          <w:rtl w:val="0"/>
        </w:rPr>
        <w:t xml:space="preserve">ochenta por ciento (80%) del presupuesto</w:t>
      </w:r>
      <w:r w:rsidDel="00000000" w:rsidR="00000000" w:rsidRPr="00000000">
        <w:rPr>
          <w:rFonts w:ascii="Arial" w:cs="Arial" w:eastAsia="Arial" w:hAnsi="Arial"/>
          <w:sz w:val="22"/>
          <w:szCs w:val="22"/>
          <w:rtl w:val="0"/>
        </w:rPr>
        <w:t xml:space="preserve"> establecido para el presente proceso, situación que será indicada en el resumen de Indicadores Financieros.</w:t>
      </w:r>
    </w:p>
    <w:p w:rsidR="00000000" w:rsidDel="00000000" w:rsidP="00000000" w:rsidRDefault="00000000" w:rsidRPr="00000000" w14:paraId="00000531">
      <w:pPr>
        <w:tabs>
          <w:tab w:val="left" w:leader="none" w:pos="0"/>
          <w:tab w:val="left" w:leader="none" w:pos="284"/>
        </w:tabs>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532">
      <w:pPr>
        <w:tabs>
          <w:tab w:val="left" w:leader="none" w:pos="0"/>
          <w:tab w:val="left" w:leader="none" w:pos="284"/>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este orden de ideas, tomando como referente los indicadores de capacidad financiera y organizacional establecidos en el marco de los documentos tipo de procesos de infraestructura social, elaborados por Colombia Compra Eficiente y los respectivos análisis descritos anteriormente, el SENA - Centro Agropecuario la Granja, define los siguientes indicadores como requisito para el proceso de Selección Abreviada de Menor  de la referencia:</w:t>
      </w:r>
    </w:p>
    <w:p w:rsidR="00000000" w:rsidDel="00000000" w:rsidP="00000000" w:rsidRDefault="00000000" w:rsidRPr="00000000" w14:paraId="0000053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112"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17"/>
        <w:tblW w:w="6820.0" w:type="dxa"/>
        <w:jc w:val="center"/>
        <w:tblLayout w:type="fixed"/>
        <w:tblLook w:val="0400"/>
      </w:tblPr>
      <w:tblGrid>
        <w:gridCol w:w="2620"/>
        <w:gridCol w:w="2478"/>
        <w:gridCol w:w="1722"/>
        <w:tblGridChange w:id="0">
          <w:tblGrid>
            <w:gridCol w:w="2620"/>
            <w:gridCol w:w="2478"/>
            <w:gridCol w:w="1722"/>
          </w:tblGrid>
        </w:tblGridChange>
      </w:tblGrid>
      <w:tr>
        <w:trPr>
          <w:cantSplit w:val="0"/>
          <w:trHeight w:val="499" w:hRule="atLeast"/>
          <w:tblHeader w:val="0"/>
        </w:trPr>
        <w:tc>
          <w:tcPr>
            <w:tcBorders>
              <w:top w:color="000000" w:space="0" w:sz="4" w:val="single"/>
              <w:left w:color="000000" w:space="0" w:sz="4" w:val="single"/>
              <w:bottom w:color="000000" w:space="0" w:sz="4" w:val="single"/>
              <w:right w:color="000000" w:space="0" w:sz="4" w:val="single"/>
            </w:tcBorders>
            <w:shd w:fill="ddebf7" w:val="clear"/>
            <w:vAlign w:val="center"/>
          </w:tcPr>
          <w:p w:rsidR="00000000" w:rsidDel="00000000" w:rsidP="00000000" w:rsidRDefault="00000000" w:rsidRPr="00000000" w14:paraId="00000534">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Indicador</w:t>
            </w:r>
          </w:p>
        </w:tc>
        <w:tc>
          <w:tcPr>
            <w:tcBorders>
              <w:top w:color="000000" w:space="0" w:sz="4" w:val="single"/>
              <w:left w:color="000000" w:space="0" w:sz="0" w:val="nil"/>
              <w:bottom w:color="000000" w:space="0" w:sz="4" w:val="single"/>
              <w:right w:color="000000" w:space="0" w:sz="4" w:val="single"/>
            </w:tcBorders>
            <w:shd w:fill="ddebf7" w:val="clear"/>
            <w:vAlign w:val="center"/>
          </w:tcPr>
          <w:p w:rsidR="00000000" w:rsidDel="00000000" w:rsidP="00000000" w:rsidRDefault="00000000" w:rsidRPr="00000000" w14:paraId="00000535">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Medida Limite</w:t>
            </w:r>
          </w:p>
        </w:tc>
        <w:tc>
          <w:tcPr>
            <w:tcBorders>
              <w:top w:color="000000" w:space="0" w:sz="4" w:val="single"/>
              <w:left w:color="000000" w:space="0" w:sz="0" w:val="nil"/>
              <w:bottom w:color="000000" w:space="0" w:sz="4" w:val="single"/>
              <w:right w:color="000000" w:space="0" w:sz="4" w:val="single"/>
            </w:tcBorders>
            <w:shd w:fill="ddebf7" w:val="clear"/>
            <w:vAlign w:val="center"/>
          </w:tcPr>
          <w:p w:rsidR="00000000" w:rsidDel="00000000" w:rsidP="00000000" w:rsidRDefault="00000000" w:rsidRPr="00000000" w14:paraId="00000536">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Valor</w:t>
            </w:r>
          </w:p>
        </w:tc>
      </w:tr>
      <w:tr>
        <w:trPr>
          <w:cantSplit w:val="0"/>
          <w:trHeight w:val="6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37">
            <w:pP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Índice de liquidez</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38">
            <w:pPr>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Mayor o Igual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39">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1,67</w:t>
            </w:r>
          </w:p>
        </w:tc>
      </w:tr>
      <w:tr>
        <w:trPr>
          <w:cantSplit w:val="0"/>
          <w:trHeight w:val="6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3A">
            <w:pP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Índice de endeudamiento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3B">
            <w:pPr>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menor o Igual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3C">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54%</w:t>
            </w:r>
          </w:p>
        </w:tc>
      </w:tr>
      <w:tr>
        <w:trPr>
          <w:cantSplit w:val="0"/>
          <w:trHeight w:val="6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3D">
            <w:pP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Razón de cobertura de intereses</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3E">
            <w:pPr>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Mayor o Igual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3F">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4,16</w:t>
            </w:r>
          </w:p>
        </w:tc>
      </w:tr>
      <w:tr>
        <w:trPr>
          <w:cantSplit w:val="0"/>
          <w:trHeight w:val="6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40">
            <w:pP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Rentabilidad del patrimonio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41">
            <w:pPr>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Mayor o Igual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42">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0,08</w:t>
            </w:r>
          </w:p>
        </w:tc>
      </w:tr>
      <w:tr>
        <w:trPr>
          <w:cantSplit w:val="0"/>
          <w:trHeight w:val="6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43">
            <w:pP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Rentabilidad del activo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44">
            <w:pPr>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Mayor o Igual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45">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0,06</w:t>
            </w:r>
          </w:p>
        </w:tc>
      </w:tr>
      <w:tr>
        <w:trPr>
          <w:cantSplit w:val="0"/>
          <w:trHeight w:val="600" w:hRule="atLeast"/>
          <w:tblHeader w:val="0"/>
        </w:trPr>
        <w:tc>
          <w:tcPr>
            <w:tcBorders>
              <w:top w:color="000000" w:space="0" w:sz="0" w:val="nil"/>
              <w:left w:color="000000" w:space="0" w:sz="4" w:val="single"/>
              <w:bottom w:color="000000" w:space="0" w:sz="0" w:val="nil"/>
              <w:right w:color="000000" w:space="0" w:sz="4" w:val="single"/>
            </w:tcBorders>
            <w:shd w:fill="auto" w:val="clear"/>
            <w:vAlign w:val="center"/>
          </w:tcPr>
          <w:p w:rsidR="00000000" w:rsidDel="00000000" w:rsidP="00000000" w:rsidRDefault="00000000" w:rsidRPr="00000000" w14:paraId="00000546">
            <w:pP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Capital de Trabajo</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547">
            <w:pPr>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Mayor o Igual al presupuesto del proceso</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548">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80%</w:t>
            </w:r>
          </w:p>
        </w:tc>
      </w:tr>
      <w:tr>
        <w:trPr>
          <w:cantSplit w:val="0"/>
          <w:trHeight w:val="6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49">
            <w:pPr>
              <w:rPr>
                <w:rFonts w:ascii="Arial" w:cs="Arial" w:eastAsia="Arial" w:hAnsi="Arial"/>
                <w:color w:val="000000"/>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4A">
            <w:pPr>
              <w:jc w:val="center"/>
              <w:rPr>
                <w:rFonts w:ascii="Arial" w:cs="Arial" w:eastAsia="Arial" w:hAnsi="Arial"/>
                <w:color w:val="000000"/>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4B">
            <w:pPr>
              <w:jc w:val="center"/>
              <w:rPr>
                <w:rFonts w:ascii="Arial" w:cs="Arial" w:eastAsia="Arial" w:hAnsi="Arial"/>
                <w:b w:val="1"/>
                <w:color w:val="000000"/>
                <w:sz w:val="20"/>
                <w:szCs w:val="20"/>
              </w:rPr>
            </w:pPr>
            <w:r w:rsidDel="00000000" w:rsidR="00000000" w:rsidRPr="00000000">
              <w:rPr>
                <w:rtl w:val="0"/>
              </w:rPr>
            </w:r>
          </w:p>
        </w:tc>
      </w:tr>
    </w:tbl>
    <w:p w:rsidR="00000000" w:rsidDel="00000000" w:rsidP="00000000" w:rsidRDefault="00000000" w:rsidRPr="00000000" w14:paraId="0000054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 w:val="left" w:leader="none" w:pos="284"/>
        </w:tabs>
        <w:spacing w:after="0" w:before="0" w:line="240" w:lineRule="auto"/>
        <w:ind w:left="36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4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 w:val="left" w:leader="none" w:pos="284"/>
        </w:tabs>
        <w:spacing w:after="0" w:before="0" w:line="240" w:lineRule="auto"/>
        <w:ind w:left="36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4E">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tabs>
          <w:tab w:val="left" w:leader="none" w:pos="0"/>
          <w:tab w:val="left" w:leader="none" w:pos="284"/>
        </w:tabs>
        <w:spacing w:after="0" w:before="0" w:line="240" w:lineRule="auto"/>
        <w:ind w:left="720" w:right="0"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ANALISIS DEL SECTOR PARA DETERMINAR LOS CRITERIOS DIFERENCIALES PARA MIPYME Y EMPRENDIMIENTOS Y EMPRESAS DE MUJERES</w:t>
      </w:r>
    </w:p>
    <w:p w:rsidR="00000000" w:rsidDel="00000000" w:rsidP="00000000" w:rsidRDefault="00000000" w:rsidRPr="00000000" w14:paraId="0000054F">
      <w:pPr>
        <w:tabs>
          <w:tab w:val="left" w:leader="none" w:pos="0"/>
          <w:tab w:val="left" w:leader="none" w:pos="284"/>
        </w:tabs>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550">
      <w:pPr>
        <w:tabs>
          <w:tab w:val="left" w:leader="none" w:pos="0"/>
          <w:tab w:val="left" w:leader="none" w:pos="284"/>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artículo 31 de la Ley 2069 de 2020 establece el deber de las Entidades Estatales, de incluir en los Documentos del Proceso, de acuerdo con el análisis de sector, requisitos diferenciales y puntajes adicionales, en función del tamaño empresarial para la promoción del acceso de las Mipyme al mercado de Compras Públicas. De manera análoga, el artículo 32 ibidem señala que, de acuerdo con el resultado del análisis del sector, las Entidades incluirán requisitos diferenciales y puntajes adicionales en los procesos de licitación pública, selección abreviada de menor  y concurso de méritos, así como en los procesos competitivos que adelanten las entidades estatales que no apliquen en su gestión contractual el Estatuto General de Contratación Administrativa, como medidas de acción afirmativa, para incentivar los emprendimientos y empresas de mujeres en el sistema de compras públicas, sin perjuicio de los compromisos adquiridos por Colombia en los acuerdos comerciales en vigor.</w:t>
      </w:r>
    </w:p>
    <w:p w:rsidR="00000000" w:rsidDel="00000000" w:rsidP="00000000" w:rsidRDefault="00000000" w:rsidRPr="00000000" w14:paraId="00000551">
      <w:pPr>
        <w:tabs>
          <w:tab w:val="left" w:leader="none" w:pos="0"/>
          <w:tab w:val="left" w:leader="none" w:pos="284"/>
        </w:tabs>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552">
      <w:pPr>
        <w:tabs>
          <w:tab w:val="left" w:leader="none" w:pos="0"/>
          <w:tab w:val="left" w:leader="none" w:pos="284"/>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 conformidad con el artículo 2.2.1.2.4.2.15 del Decreto 1082 del 2015, las Entidades incluirán estos requisitos diferenciales y puntajes adicionales para emprendimientos y empresas de mujeres con domicilio en el territorio nacional de acuerdo con los resultados del análisis del sector, desde la perspectiva del estudio de la oferta de las obras, bienes o servicios que requiere. Igualmente, el articulo 2.2.1.2.4.2.18. del Decreto 1082 de 2015 establece el deber de incluir condiciones habilitantes diferenciales y el puntaje adicional para Mipyme domiciliadas en Colombia de acuerdo con los resultados del análisis del sector.</w:t>
      </w:r>
    </w:p>
    <w:p w:rsidR="00000000" w:rsidDel="00000000" w:rsidP="00000000" w:rsidRDefault="00000000" w:rsidRPr="00000000" w14:paraId="00000553">
      <w:pPr>
        <w:tabs>
          <w:tab w:val="left" w:leader="none" w:pos="0"/>
          <w:tab w:val="left" w:leader="none" w:pos="284"/>
        </w:tabs>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554">
      <w:pPr>
        <w:tabs>
          <w:tab w:val="left" w:leader="none" w:pos="0"/>
          <w:tab w:val="left" w:leader="none" w:pos="284"/>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Es por esto por lo que a continuación se presenta la información insumo para la identificación de la existencia de posibles proveedores que sean MiPymes, emprendimientos y empresas de mujeres en el mercado relativo al objeto del proceso de contratación que se adelanta, que determine la inclusión de los criterios diferenciales y puntajes adicionales de que trata el decreto 1860 de 2021:</w:t>
      </w:r>
    </w:p>
    <w:p w:rsidR="00000000" w:rsidDel="00000000" w:rsidP="00000000" w:rsidRDefault="00000000" w:rsidRPr="00000000" w14:paraId="00000555">
      <w:pPr>
        <w:tabs>
          <w:tab w:val="left" w:leader="none" w:pos="0"/>
          <w:tab w:val="left" w:leader="none" w:pos="284"/>
        </w:tabs>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556">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TECNICAS DE ANÁLISIS DE LA INFORMACIÓN</w:t>
      </w:r>
    </w:p>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58">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información contenida en el presente proceso corresponde a las consultas realizadas a las diferentes entidades que manejan contextos económicos técnicos y regulatorios claros aplicables a los proceso de contratación, basados en los planes de necesidades planteados por las unidades ejecutoras. El estudio del sector se realizó teniendo en cuenta los parámetros establecidos para ello por las guías emitidas por Colombia Compra Eficiente.</w:t>
      </w:r>
    </w:p>
    <w:p w:rsidR="00000000" w:rsidDel="00000000" w:rsidP="00000000" w:rsidRDefault="00000000" w:rsidRPr="00000000" w14:paraId="00000559">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55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55B">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LISTA DE FUENTES DE INFORMACIÓN</w:t>
      </w:r>
    </w:p>
    <w:p w:rsidR="00000000" w:rsidDel="00000000" w:rsidP="00000000" w:rsidRDefault="00000000" w:rsidRPr="00000000" w14:paraId="0000055C">
      <w:pPr>
        <w:ind w:left="403"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55D">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DANE: www.dane.gov.co</w:t>
      </w:r>
    </w:p>
    <w:p w:rsidR="00000000" w:rsidDel="00000000" w:rsidP="00000000" w:rsidRDefault="00000000" w:rsidRPr="00000000" w14:paraId="0000055E">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ANIF: www.anif.gov.co</w:t>
      </w:r>
    </w:p>
    <w:p w:rsidR="00000000" w:rsidDel="00000000" w:rsidP="00000000" w:rsidRDefault="00000000" w:rsidRPr="00000000" w14:paraId="0000055F">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ANDI (Encuesta de opinión industrial): www.andi.gov.co</w:t>
      </w:r>
    </w:p>
    <w:p w:rsidR="00000000" w:rsidDel="00000000" w:rsidP="00000000" w:rsidRDefault="00000000" w:rsidRPr="00000000" w14:paraId="00000560">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Banco de La República: www.banrep.gov.co</w:t>
      </w:r>
    </w:p>
    <w:p w:rsidR="00000000" w:rsidDel="00000000" w:rsidP="00000000" w:rsidRDefault="00000000" w:rsidRPr="00000000" w14:paraId="00000561">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Cámaras de Comercio –</w:t>
      </w:r>
    </w:p>
    <w:p w:rsidR="00000000" w:rsidDel="00000000" w:rsidP="00000000" w:rsidRDefault="00000000" w:rsidRPr="00000000" w14:paraId="00000562">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Superintendencia de Industria y Comercio: www.sic.gov.co</w:t>
      </w:r>
    </w:p>
    <w:p w:rsidR="00000000" w:rsidDel="00000000" w:rsidP="00000000" w:rsidRDefault="00000000" w:rsidRPr="00000000" w14:paraId="00000563">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Fedesarrollo: www.fedesarrollo.org.co</w:t>
      </w:r>
    </w:p>
    <w:p w:rsidR="00000000" w:rsidDel="00000000" w:rsidP="00000000" w:rsidRDefault="00000000" w:rsidRPr="00000000" w14:paraId="00000564">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Confecámaras: www.confecamaras.org.co</w:t>
      </w:r>
    </w:p>
    <w:p w:rsidR="00000000" w:rsidDel="00000000" w:rsidP="00000000" w:rsidRDefault="00000000" w:rsidRPr="00000000" w14:paraId="00000565">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Departamento Nacional de Planeación –DNP–: www.dnp.gov.co</w:t>
      </w:r>
    </w:p>
    <w:p w:rsidR="00000000" w:rsidDel="00000000" w:rsidP="00000000" w:rsidRDefault="00000000" w:rsidRPr="00000000" w14:paraId="00000566">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Asobancaria (economía y finanzas): www.asobancaria.com</w:t>
      </w:r>
    </w:p>
    <w:p w:rsidR="00000000" w:rsidDel="00000000" w:rsidP="00000000" w:rsidRDefault="00000000" w:rsidRPr="00000000" w14:paraId="00000567">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Ministerio de Industria y Comercio</w:t>
      </w:r>
    </w:p>
    <w:p w:rsidR="00000000" w:rsidDel="00000000" w:rsidP="00000000" w:rsidRDefault="00000000" w:rsidRPr="00000000" w14:paraId="00000568">
      <w:pPr>
        <w:ind w:left="403"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w:t>
        <w:tab/>
        <w:t xml:space="preserve">Secop II, www.colombiacompra.gov.co/compradores/beneficios-del-secop-ii-para-compradores/content/secop-ii-2</w:t>
      </w:r>
    </w:p>
    <w:p w:rsidR="00000000" w:rsidDel="00000000" w:rsidP="00000000" w:rsidRDefault="00000000" w:rsidRPr="00000000" w14:paraId="00000569">
      <w:pPr>
        <w:tabs>
          <w:tab w:val="left" w:leader="none" w:pos="0"/>
          <w:tab w:val="left" w:leader="none" w:pos="284"/>
        </w:tabs>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5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highlight w:val="yellow"/>
          <w:u w:val="none"/>
          <w:vertAlign w:val="baseline"/>
        </w:rPr>
      </w:pPr>
      <w:r w:rsidDel="00000000" w:rsidR="00000000" w:rsidRPr="00000000">
        <w:rPr>
          <w:rtl w:val="0"/>
        </w:rPr>
      </w:r>
    </w:p>
    <w:p w:rsidR="00000000" w:rsidDel="00000000" w:rsidP="00000000" w:rsidRDefault="00000000" w:rsidRPr="00000000" w14:paraId="0000056B">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i w:val="0"/>
          <w:smallCaps w:val="0"/>
          <w:strike w:val="0"/>
          <w:color w:val="000000"/>
          <w:sz w:val="22"/>
          <w:szCs w:val="22"/>
          <w:u w:val="none"/>
          <w:shd w:fill="auto" w:val="clear"/>
          <w:vertAlign w:val="baseline"/>
        </w:rPr>
      </w:pPr>
      <w:bookmarkStart w:colFirst="0" w:colLast="0" w:name="_u3y7bdeosx7d" w:id="3"/>
      <w:bookmarkEnd w:id="3"/>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CAUSALES DE RECHAZO DE LAS OFERTAS O DECLARATORIA DE DESIERTO DEL PROCESO: </w:t>
      </w:r>
    </w:p>
    <w:p w:rsidR="00000000" w:rsidDel="00000000" w:rsidP="00000000" w:rsidRDefault="00000000" w:rsidRPr="00000000" w14:paraId="000005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6D">
      <w:pPr>
        <w:keepNext w:val="0"/>
        <w:keepLines w:val="0"/>
        <w:pageBreakBefore w:val="0"/>
        <w:widowControl w:val="1"/>
        <w:numPr>
          <w:ilvl w:val="1"/>
          <w:numId w:val="2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Causales de Rechazo de las Ofertas:</w:t>
      </w:r>
    </w:p>
    <w:p w:rsidR="00000000" w:rsidDel="00000000" w:rsidP="00000000" w:rsidRDefault="00000000" w:rsidRPr="00000000" w14:paraId="0000056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26"/>
        </w:tabs>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bookmarkStart w:colFirst="0" w:colLast="0" w:name="_i16vdmyyq3cs" w:id="4"/>
      <w:bookmarkEnd w:id="4"/>
      <w:r w:rsidDel="00000000" w:rsidR="00000000" w:rsidRPr="00000000">
        <w:rPr>
          <w:rtl w:val="0"/>
        </w:rPr>
      </w:r>
    </w:p>
    <w:p w:rsidR="00000000" w:rsidDel="00000000" w:rsidP="00000000" w:rsidRDefault="00000000" w:rsidRPr="00000000" w14:paraId="0000056F">
      <w:pPr>
        <w:numPr>
          <w:ilvl w:val="0"/>
          <w:numId w:val="25"/>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el proponente se encuentre incurso en alguna de las causales de inhabilidad o incompatibilidad y/o prohibición para contratar, de conformidad con el Artículo 8 de la Ley 80 de 1993 en concordancia con el artículo 90 del Estatuto Anticorrupción (Ley 1474 de 2011).   </w:t>
      </w:r>
      <w:r w:rsidDel="00000000" w:rsidR="00000000" w:rsidRPr="00000000">
        <w:rPr>
          <w:rtl w:val="0"/>
        </w:rPr>
      </w:r>
    </w:p>
    <w:p w:rsidR="00000000" w:rsidDel="00000000" w:rsidP="00000000" w:rsidRDefault="00000000" w:rsidRPr="00000000" w14:paraId="00000570">
      <w:pPr>
        <w:numPr>
          <w:ilvl w:val="0"/>
          <w:numId w:val="26"/>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la propuesta se presente fuera del término del proceso, o que sea remitida en físico, por mensaje, correo electrónico, o entregadas en lugar diferente al señalado dentro de la plataforma SECOP II.  </w:t>
      </w:r>
      <w:r w:rsidDel="00000000" w:rsidR="00000000" w:rsidRPr="00000000">
        <w:rPr>
          <w:rtl w:val="0"/>
        </w:rPr>
      </w:r>
    </w:p>
    <w:p w:rsidR="00000000" w:rsidDel="00000000" w:rsidP="00000000" w:rsidRDefault="00000000" w:rsidRPr="00000000" w14:paraId="00000571">
      <w:pPr>
        <w:numPr>
          <w:ilvl w:val="0"/>
          <w:numId w:val="30"/>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la propuesta presentada no cumpla con los requerimientos mínimos establecidos en el Pliego de Condiciones, sus Anexos, formatos y adendas vigentes y no hubiere posibilidad de saneamiento conforme a lo previsto en él mismo y en la ley.   </w:t>
      </w:r>
      <w:r w:rsidDel="00000000" w:rsidR="00000000" w:rsidRPr="00000000">
        <w:rPr>
          <w:rtl w:val="0"/>
        </w:rPr>
      </w:r>
    </w:p>
    <w:p w:rsidR="00000000" w:rsidDel="00000000" w:rsidP="00000000" w:rsidRDefault="00000000" w:rsidRPr="00000000" w14:paraId="00000572">
      <w:pPr>
        <w:numPr>
          <w:ilvl w:val="0"/>
          <w:numId w:val="34"/>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el proponente plural presente oferta desde una cuenta diferente a la propia, constituida en forma asociativa, de conformidad con lo indicado por Colombia Compra Eficiente en los manuales de uso de SECOP II.  </w:t>
      </w:r>
      <w:r w:rsidDel="00000000" w:rsidR="00000000" w:rsidRPr="00000000">
        <w:rPr>
          <w:rtl w:val="0"/>
        </w:rPr>
      </w:r>
    </w:p>
    <w:p w:rsidR="00000000" w:rsidDel="00000000" w:rsidP="00000000" w:rsidRDefault="00000000" w:rsidRPr="00000000" w14:paraId="00000573">
      <w:pPr>
        <w:numPr>
          <w:ilvl w:val="0"/>
          <w:numId w:val="38"/>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la propuesta sea presentada por personas jurídicamente incapaces para obligarse.  </w:t>
      </w:r>
      <w:r w:rsidDel="00000000" w:rsidR="00000000" w:rsidRPr="00000000">
        <w:rPr>
          <w:rtl w:val="0"/>
        </w:rPr>
      </w:r>
    </w:p>
    <w:p w:rsidR="00000000" w:rsidDel="00000000" w:rsidP="00000000" w:rsidRDefault="00000000" w:rsidRPr="00000000" w14:paraId="00000574">
      <w:pPr>
        <w:numPr>
          <w:ilvl w:val="0"/>
          <w:numId w:val="39"/>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el representante legal del proponente o de alguno de los integrantes del Consorcio o Unión Temporal no se encuentre debidamente autorizado para presentar la propuesta y firmar contrato de acuerdo con los estatutos sociales y una vez requerido no aporte el documento respectivo que lo faculte.  </w:t>
      </w:r>
      <w:r w:rsidDel="00000000" w:rsidR="00000000" w:rsidRPr="00000000">
        <w:rPr>
          <w:rtl w:val="0"/>
        </w:rPr>
      </w:r>
    </w:p>
    <w:p w:rsidR="00000000" w:rsidDel="00000000" w:rsidP="00000000" w:rsidRDefault="00000000" w:rsidRPr="00000000" w14:paraId="00000575">
      <w:pPr>
        <w:numPr>
          <w:ilvl w:val="0"/>
          <w:numId w:val="2"/>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 Cuando para un mismo proceso, una sociedad y su filial y/o subsidiaria, presenten propuestas en forma separada, en este caso se rechazará la propuesta radicada en segundo lugar y siguientes de acuerdo al acta de cierre  </w:t>
      </w:r>
      <w:r w:rsidDel="00000000" w:rsidR="00000000" w:rsidRPr="00000000">
        <w:rPr>
          <w:rtl w:val="0"/>
        </w:rPr>
      </w:r>
    </w:p>
    <w:p w:rsidR="00000000" w:rsidDel="00000000" w:rsidP="00000000" w:rsidRDefault="00000000" w:rsidRPr="00000000" w14:paraId="00000576">
      <w:pPr>
        <w:numPr>
          <w:ilvl w:val="0"/>
          <w:numId w:val="3"/>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se evidencie el mismo profesional ofertado para acreditar los requisitos habilitantes, en más de una oferta. En tal situación, se rechazan todas las ofertas que tengan el mismo profesional propuesto.  </w:t>
      </w:r>
      <w:r w:rsidDel="00000000" w:rsidR="00000000" w:rsidRPr="00000000">
        <w:rPr>
          <w:rtl w:val="0"/>
        </w:rPr>
      </w:r>
    </w:p>
    <w:p w:rsidR="00000000" w:rsidDel="00000000" w:rsidP="00000000" w:rsidRDefault="00000000" w:rsidRPr="00000000" w14:paraId="00000577">
      <w:pPr>
        <w:numPr>
          <w:ilvl w:val="0"/>
          <w:numId w:val="4"/>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 Cuando la inscripción en el Registro Único de Proponentes no se encuentre vigente y en firme dentro del término establecido en el Pliego. (NO APLICA PARA LA PRESENTE INVITACION PUBLICA).  </w:t>
      </w:r>
      <w:r w:rsidDel="00000000" w:rsidR="00000000" w:rsidRPr="00000000">
        <w:rPr>
          <w:rtl w:val="0"/>
        </w:rPr>
      </w:r>
    </w:p>
    <w:p w:rsidR="00000000" w:rsidDel="00000000" w:rsidP="00000000" w:rsidRDefault="00000000" w:rsidRPr="00000000" w14:paraId="00000578">
      <w:pPr>
        <w:numPr>
          <w:ilvl w:val="0"/>
          <w:numId w:val="5"/>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para este mismo proceso (por lote, cuando aplique) se presenten varias propuestas por el mismo proponente por sí o por interpuesta persona, o por los socios que integran la persona jurídica, individualmente o a través de un consorcio o unión temporal.   </w:t>
      </w:r>
      <w:r w:rsidDel="00000000" w:rsidR="00000000" w:rsidRPr="00000000">
        <w:rPr>
          <w:rtl w:val="0"/>
        </w:rPr>
      </w:r>
    </w:p>
    <w:p w:rsidR="00000000" w:rsidDel="00000000" w:rsidP="00000000" w:rsidRDefault="00000000" w:rsidRPr="00000000" w14:paraId="00000579">
      <w:pPr>
        <w:numPr>
          <w:ilvl w:val="0"/>
          <w:numId w:val="6"/>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se compruebe que los documentos presentados por el proponente contienen información imprecisa, inexacta o que de cualquier manera no corresponda a la realidad y genere confusión para la Entidad, caso en el cual se iniciarán las acciones correspondientes, si a ello hubiere lugar.   </w:t>
      </w:r>
      <w:r w:rsidDel="00000000" w:rsidR="00000000" w:rsidRPr="00000000">
        <w:rPr>
          <w:rtl w:val="0"/>
        </w:rPr>
      </w:r>
    </w:p>
    <w:p w:rsidR="00000000" w:rsidDel="00000000" w:rsidP="00000000" w:rsidRDefault="00000000" w:rsidRPr="00000000" w14:paraId="0000057A">
      <w:pPr>
        <w:numPr>
          <w:ilvl w:val="0"/>
          <w:numId w:val="7"/>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se compruebe que el proponente ha influido o presionado sobre el estudio de las ofertas.   </w:t>
      </w:r>
      <w:r w:rsidDel="00000000" w:rsidR="00000000" w:rsidRPr="00000000">
        <w:rPr>
          <w:rtl w:val="0"/>
        </w:rPr>
      </w:r>
    </w:p>
    <w:p w:rsidR="00000000" w:rsidDel="00000000" w:rsidP="00000000" w:rsidRDefault="00000000" w:rsidRPr="00000000" w14:paraId="0000057B">
      <w:pPr>
        <w:numPr>
          <w:ilvl w:val="0"/>
          <w:numId w:val="8"/>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el proponente presente su oferta con algún tipo de condicionamiento, en cualquiera de los documentos de la propuesta.   </w:t>
      </w:r>
      <w:r w:rsidDel="00000000" w:rsidR="00000000" w:rsidRPr="00000000">
        <w:rPr>
          <w:rtl w:val="0"/>
        </w:rPr>
      </w:r>
    </w:p>
    <w:p w:rsidR="00000000" w:rsidDel="00000000" w:rsidP="00000000" w:rsidRDefault="00000000" w:rsidRPr="00000000" w14:paraId="0000057C">
      <w:pPr>
        <w:numPr>
          <w:ilvl w:val="0"/>
          <w:numId w:val="9"/>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supere el porcentaje (%) de Administración y/o Utilidad determinados por el SENA.  </w:t>
      </w:r>
      <w:r w:rsidDel="00000000" w:rsidR="00000000" w:rsidRPr="00000000">
        <w:rPr>
          <w:rtl w:val="0"/>
        </w:rPr>
      </w:r>
    </w:p>
    <w:p w:rsidR="00000000" w:rsidDel="00000000" w:rsidP="00000000" w:rsidRDefault="00000000" w:rsidRPr="00000000" w14:paraId="0000057D">
      <w:pPr>
        <w:numPr>
          <w:ilvl w:val="0"/>
          <w:numId w:val="10"/>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supere el factor multiplicador definido.  </w:t>
      </w:r>
      <w:r w:rsidDel="00000000" w:rsidR="00000000" w:rsidRPr="00000000">
        <w:rPr>
          <w:rtl w:val="0"/>
        </w:rPr>
      </w:r>
    </w:p>
    <w:p w:rsidR="00000000" w:rsidDel="00000000" w:rsidP="00000000" w:rsidRDefault="00000000" w:rsidRPr="00000000" w14:paraId="0000057E">
      <w:pPr>
        <w:numPr>
          <w:ilvl w:val="0"/>
          <w:numId w:val="11"/>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el proponente dentro del término previsto en la solicitud que se realice no responda al requerimiento que haga la Entidad para subsanarla.  </w:t>
      </w:r>
      <w:r w:rsidDel="00000000" w:rsidR="00000000" w:rsidRPr="00000000">
        <w:rPr>
          <w:rtl w:val="0"/>
        </w:rPr>
      </w:r>
    </w:p>
    <w:p w:rsidR="00000000" w:rsidDel="00000000" w:rsidP="00000000" w:rsidRDefault="00000000" w:rsidRPr="00000000" w14:paraId="0000057F">
      <w:pPr>
        <w:numPr>
          <w:ilvl w:val="0"/>
          <w:numId w:val="12"/>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el proponente subsane, pero no lo haga en debida forma y quede insatisfecho el requerimiento realizado por la Entidad.  </w:t>
      </w:r>
      <w:r w:rsidDel="00000000" w:rsidR="00000000" w:rsidRPr="00000000">
        <w:rPr>
          <w:rtl w:val="0"/>
        </w:rPr>
      </w:r>
    </w:p>
    <w:p w:rsidR="00000000" w:rsidDel="00000000" w:rsidP="00000000" w:rsidRDefault="00000000" w:rsidRPr="00000000" w14:paraId="00000580">
      <w:pPr>
        <w:numPr>
          <w:ilvl w:val="0"/>
          <w:numId w:val="13"/>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formule una oferta en la que se fijen condiciones económicas y de contrataciones artificiales, debidamente evidenciadas una vez surtido el debido proceso o ante la ausencia de respuesta del oferente a las aclaraciones solicitadas, dentro del término dispuesto para ello o cuando las explicaciones rendidas no respondan a circunstancias objetivas del oferente y de su oferta.  </w:t>
      </w:r>
      <w:r w:rsidDel="00000000" w:rsidR="00000000" w:rsidRPr="00000000">
        <w:rPr>
          <w:rtl w:val="0"/>
        </w:rPr>
      </w:r>
    </w:p>
    <w:p w:rsidR="00000000" w:rsidDel="00000000" w:rsidP="00000000" w:rsidRDefault="00000000" w:rsidRPr="00000000" w14:paraId="00000581">
      <w:pPr>
        <w:numPr>
          <w:ilvl w:val="0"/>
          <w:numId w:val="14"/>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Modificar la integración de la figura asociativa, consorcial o de unión temporal, luego de presentada la oferta.  </w:t>
      </w:r>
      <w:r w:rsidDel="00000000" w:rsidR="00000000" w:rsidRPr="00000000">
        <w:rPr>
          <w:rtl w:val="0"/>
        </w:rPr>
      </w:r>
    </w:p>
    <w:p w:rsidR="00000000" w:rsidDel="00000000" w:rsidP="00000000" w:rsidRDefault="00000000" w:rsidRPr="00000000" w14:paraId="00000582">
      <w:pPr>
        <w:numPr>
          <w:ilvl w:val="0"/>
          <w:numId w:val="15"/>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La no constitución de la garantía de seriedad con anterioridad a la fecha y hora establecida en el cronograma del proceso para la entrega de la propuesta. (NO APLICA PARA LA PRESENTE INVITACION PUBLICA). </w:t>
      </w:r>
      <w:r w:rsidDel="00000000" w:rsidR="00000000" w:rsidRPr="00000000">
        <w:rPr>
          <w:rtl w:val="0"/>
        </w:rPr>
      </w:r>
    </w:p>
    <w:p w:rsidR="00000000" w:rsidDel="00000000" w:rsidP="00000000" w:rsidRDefault="00000000" w:rsidRPr="00000000" w14:paraId="00000583">
      <w:pPr>
        <w:numPr>
          <w:ilvl w:val="0"/>
          <w:numId w:val="16"/>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La no entrega de la garantía dentro de la propuesta presentada en el cierre del proceso.  (NO APLICA PARA LA PRESENTE INVITACION PUBLICA).</w:t>
      </w:r>
      <w:r w:rsidDel="00000000" w:rsidR="00000000" w:rsidRPr="00000000">
        <w:rPr>
          <w:rtl w:val="0"/>
        </w:rPr>
      </w:r>
    </w:p>
    <w:p w:rsidR="00000000" w:rsidDel="00000000" w:rsidP="00000000" w:rsidRDefault="00000000" w:rsidRPr="00000000" w14:paraId="00000584">
      <w:pPr>
        <w:numPr>
          <w:ilvl w:val="0"/>
          <w:numId w:val="17"/>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El proponente no diligencie en su totalidad los Formatos, y persista ello con posterioridad a la solicitud de subsanación de la Entidad.  </w:t>
      </w:r>
      <w:r w:rsidDel="00000000" w:rsidR="00000000" w:rsidRPr="00000000">
        <w:rPr>
          <w:rtl w:val="0"/>
        </w:rPr>
      </w:r>
    </w:p>
    <w:p w:rsidR="00000000" w:rsidDel="00000000" w:rsidP="00000000" w:rsidRDefault="00000000" w:rsidRPr="00000000" w14:paraId="00000585">
      <w:pPr>
        <w:numPr>
          <w:ilvl w:val="0"/>
          <w:numId w:val="18"/>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el objeto social de la persona jurídica, la actividad comercial de la persona natural, o el objeto social de alguno de los miembros que conforman la Estructura Plural PROPONENTE no permita ejecutar las actividades descritas en el objeto del proceso de selección.  </w:t>
      </w:r>
      <w:r w:rsidDel="00000000" w:rsidR="00000000" w:rsidRPr="00000000">
        <w:rPr>
          <w:rtl w:val="0"/>
        </w:rPr>
      </w:r>
    </w:p>
    <w:p w:rsidR="00000000" w:rsidDel="00000000" w:rsidP="00000000" w:rsidRDefault="00000000" w:rsidRPr="00000000" w14:paraId="00000586">
      <w:pPr>
        <w:numPr>
          <w:ilvl w:val="0"/>
          <w:numId w:val="19"/>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se omita, modifique, adicione, suprima o altere uno o varias de las descripciones o cantidades de la “OFERTA ECONÓMICA”.   </w:t>
      </w:r>
      <w:r w:rsidDel="00000000" w:rsidR="00000000" w:rsidRPr="00000000">
        <w:rPr>
          <w:rtl w:val="0"/>
        </w:rPr>
      </w:r>
    </w:p>
    <w:p w:rsidR="00000000" w:rsidDel="00000000" w:rsidP="00000000" w:rsidRDefault="00000000" w:rsidRPr="00000000" w14:paraId="00000587">
      <w:pPr>
        <w:numPr>
          <w:ilvl w:val="0"/>
          <w:numId w:val="20"/>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Cuando el valor de la propuesta económica exceda el del presupuesto oficial.  </w:t>
      </w:r>
      <w:r w:rsidDel="00000000" w:rsidR="00000000" w:rsidRPr="00000000">
        <w:rPr>
          <w:rtl w:val="0"/>
        </w:rPr>
      </w:r>
    </w:p>
    <w:p w:rsidR="00000000" w:rsidDel="00000000" w:rsidP="00000000" w:rsidRDefault="00000000" w:rsidRPr="00000000" w14:paraId="00000588">
      <w:pPr>
        <w:numPr>
          <w:ilvl w:val="0"/>
          <w:numId w:val="21"/>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De existir error aritmético y la corrección a que haya lugar de la oferta económica, supere el 2% del valor total de la misma.   </w:t>
      </w:r>
      <w:r w:rsidDel="00000000" w:rsidR="00000000" w:rsidRPr="00000000">
        <w:rPr>
          <w:rtl w:val="0"/>
        </w:rPr>
      </w:r>
    </w:p>
    <w:p w:rsidR="00000000" w:rsidDel="00000000" w:rsidP="00000000" w:rsidRDefault="00000000" w:rsidRPr="00000000" w14:paraId="00000589">
      <w:pPr>
        <w:numPr>
          <w:ilvl w:val="0"/>
          <w:numId w:val="22"/>
        </w:numPr>
        <w:ind w:left="709" w:hanging="425"/>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Los demás casos expresamente establecidos en la ley o en el Pliego de Condiciones Electrónico.  </w:t>
      </w:r>
      <w:r w:rsidDel="00000000" w:rsidR="00000000" w:rsidRPr="00000000">
        <w:rPr>
          <w:rtl w:val="0"/>
        </w:rPr>
      </w:r>
    </w:p>
    <w:p w:rsidR="00000000" w:rsidDel="00000000" w:rsidP="00000000" w:rsidRDefault="00000000" w:rsidRPr="00000000" w14:paraId="0000058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8B">
      <w:pPr>
        <w:keepNext w:val="0"/>
        <w:keepLines w:val="0"/>
        <w:pageBreakBefore w:val="0"/>
        <w:widowControl w:val="1"/>
        <w:numPr>
          <w:ilvl w:val="1"/>
          <w:numId w:val="2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Causales para declarar desierto el Proceso de Contratación:</w:t>
      </w:r>
    </w:p>
    <w:p w:rsidR="00000000" w:rsidDel="00000000" w:rsidP="00000000" w:rsidRDefault="00000000" w:rsidRPr="00000000" w14:paraId="000005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75"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8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1"/>
          <w:i w:val="0"/>
          <w:smallCaps w:val="0"/>
          <w:strike w:val="0"/>
          <w:color w:val="000000"/>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Cuando no se presente propuesta alguna.</w:t>
      </w:r>
      <w:r w:rsidDel="00000000" w:rsidR="00000000" w:rsidRPr="00000000">
        <w:rPr>
          <w:rtl w:val="0"/>
        </w:rPr>
      </w:r>
    </w:p>
    <w:p w:rsidR="00000000" w:rsidDel="00000000" w:rsidP="00000000" w:rsidRDefault="00000000" w:rsidRPr="00000000" w14:paraId="0000058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1"/>
          <w:i w:val="0"/>
          <w:smallCaps w:val="0"/>
          <w:strike w:val="0"/>
          <w:color w:val="000000"/>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Cuando ninguna de las propuestas cumpla con los requisitos técnicos y habilitantes.</w:t>
      </w:r>
      <w:r w:rsidDel="00000000" w:rsidR="00000000" w:rsidRPr="00000000">
        <w:rPr>
          <w:rtl w:val="0"/>
        </w:rPr>
      </w:r>
    </w:p>
    <w:p w:rsidR="00000000" w:rsidDel="00000000" w:rsidP="00000000" w:rsidRDefault="00000000" w:rsidRPr="00000000" w14:paraId="000005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0">
      <w:pPr>
        <w:keepNext w:val="0"/>
        <w:keepLines w:val="0"/>
        <w:pageBreakBefore w:val="0"/>
        <w:widowControl w:val="1"/>
        <w:numPr>
          <w:ilvl w:val="1"/>
          <w:numId w:val="2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Fundamentos Jurídicos que soportan la modalidad de selección: </w:t>
      </w:r>
    </w:p>
    <w:p w:rsidR="00000000" w:rsidDel="00000000" w:rsidP="00000000" w:rsidRDefault="00000000" w:rsidRPr="00000000" w14:paraId="000005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Por tratarse de un contrato inferior al 10% de la menor cuantía de conformidad con los numerales 7 y 12 del artículo 25 de la Ley 80 de 1993, este último modificado por el artículo 87 de la Ley 1474 de 2011; artículo 2 de la Ley 1150 de 2007 adicionado por el artículo 94 de la Ley 1474 de 2011 y reglamentado por los artículos 2.2.1.2.1.5.1 y 2.2.1.2.1.5.2 Subsección 5 del Decreto 1082 de 2015. Se contratará mediante una invitación pública en la modalidad de mínima, teniendo en cuenta como factor de selección además de los requisitos habilitantes, el menor precio de las propuestas.</w:t>
      </w:r>
      <w:r w:rsidDel="00000000" w:rsidR="00000000" w:rsidRPr="00000000">
        <w:rPr>
          <w:rtl w:val="0"/>
        </w:rPr>
      </w:r>
    </w:p>
    <w:p w:rsidR="00000000" w:rsidDel="00000000" w:rsidP="00000000" w:rsidRDefault="00000000" w:rsidRPr="00000000" w14:paraId="000005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4">
      <w:pPr>
        <w:keepNext w:val="0"/>
        <w:keepLines w:val="0"/>
        <w:pageBreakBefore w:val="0"/>
        <w:widowControl w:val="1"/>
        <w:numPr>
          <w:ilvl w:val="1"/>
          <w:numId w:val="2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Justificación de los factores de selección que permitan identificar la oferta más favorable para la entidad: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 conformidad con el decreto 1082 de 2015 en todo caso la verificación de los requisitos se hará exclusivamente en relación con el proponente con el precio más bajo para lo cual, se tendrán en cuenta las reglas de subsanabilidad establecidas en dicho decreto. En caso de que éste no cumpla con los mismos, procederá la verificación del proponente ubicado en segundo lugar y así sucesivamente. De no lograrse la habilitación, se declarará desierto el proceso.</w:t>
      </w:r>
    </w:p>
    <w:p w:rsidR="00000000" w:rsidDel="00000000" w:rsidP="00000000" w:rsidRDefault="00000000" w:rsidRPr="00000000" w14:paraId="000005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B">
      <w:pPr>
        <w:keepNext w:val="0"/>
        <w:keepLines w:val="0"/>
        <w:pageBreakBefore w:val="0"/>
        <w:widowControl w:val="1"/>
        <w:numPr>
          <w:ilvl w:val="1"/>
          <w:numId w:val="2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Factores de desempate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La Entidad estatal debe seleccionar al oferente de conformidad con lo establecido en el artículo 35. Factores de Desempate, de la Ley 2069 de 2020, modificado por el Decreto 1860 de 2021.</w:t>
      </w:r>
    </w:p>
    <w:p w:rsidR="00000000" w:rsidDel="00000000" w:rsidP="00000000" w:rsidRDefault="00000000" w:rsidRPr="00000000" w14:paraId="000005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La acreditación de estos criterios se deberá hacer conforme a lo establecido 2.2.1.2.4.2.17 del decreto 1082 de 2015, modificado por el Decreto 1860 de 2021.</w:t>
      </w:r>
    </w:p>
    <w:p w:rsidR="00000000" w:rsidDel="00000000" w:rsidP="00000000" w:rsidRDefault="00000000" w:rsidRPr="00000000" w14:paraId="000005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A1">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142" w:right="0"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ANÁLISIS DE LOS RIESGOS Y SU MITIGACIÓN: </w:t>
      </w:r>
    </w:p>
    <w:p w:rsidR="00000000" w:rsidDel="00000000" w:rsidP="00000000" w:rsidRDefault="00000000" w:rsidRPr="00000000" w14:paraId="000005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La entidad evaluará los Riesgos que el Proceso de Contratación representa para el cumplimiento de sus metas y objetivos e igualmente los riesgos que atañen al equilibrio económico del contrato así:</w:t>
      </w:r>
    </w:p>
    <w:p w:rsidR="00000000" w:rsidDel="00000000" w:rsidP="00000000" w:rsidRDefault="00000000" w:rsidRPr="00000000" w14:paraId="000005A4">
      <w:pPr>
        <w:spacing w:line="276" w:lineRule="auto"/>
        <w:jc w:val="both"/>
        <w:rPr>
          <w:rFonts w:ascii="Arial" w:cs="Arial" w:eastAsia="Arial" w:hAnsi="Arial"/>
          <w:sz w:val="22"/>
          <w:szCs w:val="22"/>
        </w:rPr>
      </w:pPr>
      <w:r w:rsidDel="00000000" w:rsidR="00000000" w:rsidRPr="00000000">
        <w:rPr>
          <w:rtl w:val="0"/>
        </w:rPr>
      </w:r>
    </w:p>
    <w:tbl>
      <w:tblPr>
        <w:tblStyle w:val="Table18"/>
        <w:tblW w:w="977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6"/>
        <w:gridCol w:w="296"/>
        <w:gridCol w:w="296"/>
        <w:gridCol w:w="298"/>
        <w:gridCol w:w="299"/>
        <w:gridCol w:w="741"/>
        <w:gridCol w:w="663"/>
        <w:gridCol w:w="297"/>
        <w:gridCol w:w="295"/>
        <w:gridCol w:w="295"/>
        <w:gridCol w:w="289"/>
        <w:gridCol w:w="289"/>
        <w:gridCol w:w="964"/>
        <w:gridCol w:w="289"/>
        <w:gridCol w:w="289"/>
        <w:gridCol w:w="289"/>
        <w:gridCol w:w="311"/>
        <w:gridCol w:w="289"/>
        <w:gridCol w:w="411"/>
        <w:gridCol w:w="506"/>
        <w:gridCol w:w="506"/>
        <w:gridCol w:w="600"/>
        <w:gridCol w:w="442"/>
        <w:gridCol w:w="524"/>
        <w:tblGridChange w:id="0">
          <w:tblGrid>
            <w:gridCol w:w="296"/>
            <w:gridCol w:w="296"/>
            <w:gridCol w:w="296"/>
            <w:gridCol w:w="298"/>
            <w:gridCol w:w="299"/>
            <w:gridCol w:w="741"/>
            <w:gridCol w:w="663"/>
            <w:gridCol w:w="297"/>
            <w:gridCol w:w="295"/>
            <w:gridCol w:w="295"/>
            <w:gridCol w:w="289"/>
            <w:gridCol w:w="289"/>
            <w:gridCol w:w="964"/>
            <w:gridCol w:w="289"/>
            <w:gridCol w:w="289"/>
            <w:gridCol w:w="289"/>
            <w:gridCol w:w="311"/>
            <w:gridCol w:w="289"/>
            <w:gridCol w:w="411"/>
            <w:gridCol w:w="506"/>
            <w:gridCol w:w="506"/>
            <w:gridCol w:w="600"/>
            <w:gridCol w:w="442"/>
            <w:gridCol w:w="524"/>
          </w:tblGrid>
        </w:tblGridChange>
      </w:tblGrid>
      <w:tr>
        <w:trPr>
          <w:cantSplit w:val="0"/>
          <w:trHeight w:val="129" w:hRule="atLeast"/>
          <w:tblHeader w:val="0"/>
        </w:trPr>
        <w:tc>
          <w:tcPr>
            <w:vMerge w:val="restart"/>
            <w:shd w:fill="8db4e3" w:val="clear"/>
            <w:vAlign w:val="center"/>
          </w:tcPr>
          <w:p w:rsidR="00000000" w:rsidDel="00000000" w:rsidP="00000000" w:rsidRDefault="00000000" w:rsidRPr="00000000" w14:paraId="000005A5">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N°</w:t>
            </w:r>
          </w:p>
        </w:tc>
        <w:tc>
          <w:tcPr>
            <w:vMerge w:val="restart"/>
            <w:shd w:fill="8db4e3" w:val="clear"/>
            <w:vAlign w:val="center"/>
          </w:tcPr>
          <w:p w:rsidR="00000000" w:rsidDel="00000000" w:rsidP="00000000" w:rsidRDefault="00000000" w:rsidRPr="00000000" w14:paraId="000005A6">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CLASE </w:t>
            </w:r>
          </w:p>
        </w:tc>
        <w:tc>
          <w:tcPr>
            <w:vMerge w:val="restart"/>
            <w:shd w:fill="8db4e3" w:val="clear"/>
            <w:vAlign w:val="center"/>
          </w:tcPr>
          <w:p w:rsidR="00000000" w:rsidDel="00000000" w:rsidP="00000000" w:rsidRDefault="00000000" w:rsidRPr="00000000" w14:paraId="000005A7">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FUENTE</w:t>
            </w:r>
          </w:p>
        </w:tc>
        <w:tc>
          <w:tcPr>
            <w:vMerge w:val="restart"/>
            <w:shd w:fill="8db4e3" w:val="clear"/>
            <w:vAlign w:val="center"/>
          </w:tcPr>
          <w:p w:rsidR="00000000" w:rsidDel="00000000" w:rsidP="00000000" w:rsidRDefault="00000000" w:rsidRPr="00000000" w14:paraId="000005A8">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ETAPA</w:t>
            </w:r>
          </w:p>
        </w:tc>
        <w:tc>
          <w:tcPr>
            <w:vMerge w:val="restart"/>
            <w:shd w:fill="8db4e3" w:val="clear"/>
            <w:vAlign w:val="center"/>
          </w:tcPr>
          <w:p w:rsidR="00000000" w:rsidDel="00000000" w:rsidP="00000000" w:rsidRDefault="00000000" w:rsidRPr="00000000" w14:paraId="000005A9">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TIPO</w:t>
            </w:r>
          </w:p>
        </w:tc>
        <w:tc>
          <w:tcPr>
            <w:vMerge w:val="restart"/>
            <w:shd w:fill="8db4e3" w:val="clear"/>
            <w:vAlign w:val="center"/>
          </w:tcPr>
          <w:p w:rsidR="00000000" w:rsidDel="00000000" w:rsidP="00000000" w:rsidRDefault="00000000" w:rsidRPr="00000000" w14:paraId="000005AA">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DESCRIPCIÓN (QUE PUEDE PASAR O NO PUEDE OCURRIR</w:t>
            </w:r>
          </w:p>
        </w:tc>
        <w:tc>
          <w:tcPr>
            <w:vMerge w:val="restart"/>
            <w:shd w:fill="8db4e3" w:val="clear"/>
            <w:vAlign w:val="center"/>
          </w:tcPr>
          <w:p w:rsidR="00000000" w:rsidDel="00000000" w:rsidP="00000000" w:rsidRDefault="00000000" w:rsidRPr="00000000" w14:paraId="000005AB">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CONSECUENCIA DE LA OCURRENCIA DEL EVENTO</w:t>
            </w:r>
          </w:p>
        </w:tc>
        <w:tc>
          <w:tcPr>
            <w:vMerge w:val="restart"/>
            <w:shd w:fill="8db4e3" w:val="clear"/>
            <w:vAlign w:val="center"/>
          </w:tcPr>
          <w:p w:rsidR="00000000" w:rsidDel="00000000" w:rsidP="00000000" w:rsidRDefault="00000000" w:rsidRPr="00000000" w14:paraId="000005AC">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PROBABILIDAD</w:t>
            </w:r>
          </w:p>
        </w:tc>
        <w:tc>
          <w:tcPr>
            <w:vMerge w:val="restart"/>
            <w:shd w:fill="8db4e3" w:val="clear"/>
            <w:vAlign w:val="center"/>
          </w:tcPr>
          <w:p w:rsidR="00000000" w:rsidDel="00000000" w:rsidP="00000000" w:rsidRDefault="00000000" w:rsidRPr="00000000" w14:paraId="000005AD">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IMPACTO</w:t>
            </w:r>
          </w:p>
        </w:tc>
        <w:tc>
          <w:tcPr>
            <w:vMerge w:val="restart"/>
            <w:shd w:fill="8db4e3" w:val="clear"/>
            <w:vAlign w:val="center"/>
          </w:tcPr>
          <w:p w:rsidR="00000000" w:rsidDel="00000000" w:rsidP="00000000" w:rsidRDefault="00000000" w:rsidRPr="00000000" w14:paraId="000005AE">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VALORACION DEL RIESGO</w:t>
            </w:r>
          </w:p>
        </w:tc>
        <w:tc>
          <w:tcPr>
            <w:vMerge w:val="restart"/>
            <w:shd w:fill="8db4e3" w:val="clear"/>
            <w:vAlign w:val="center"/>
          </w:tcPr>
          <w:p w:rsidR="00000000" w:rsidDel="00000000" w:rsidP="00000000" w:rsidRDefault="00000000" w:rsidRPr="00000000" w14:paraId="000005AF">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CATEGORIA</w:t>
            </w:r>
          </w:p>
        </w:tc>
        <w:tc>
          <w:tcPr>
            <w:vMerge w:val="restart"/>
            <w:shd w:fill="8db4e3" w:val="clear"/>
            <w:vAlign w:val="center"/>
          </w:tcPr>
          <w:p w:rsidR="00000000" w:rsidDel="00000000" w:rsidP="00000000" w:rsidRDefault="00000000" w:rsidRPr="00000000" w14:paraId="000005B0">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¿A QUIEN SE LE ASIGNA?</w:t>
            </w:r>
          </w:p>
        </w:tc>
        <w:tc>
          <w:tcPr>
            <w:vMerge w:val="restart"/>
            <w:shd w:fill="8db4e3" w:val="clear"/>
            <w:vAlign w:val="center"/>
          </w:tcPr>
          <w:p w:rsidR="00000000" w:rsidDel="00000000" w:rsidP="00000000" w:rsidRDefault="00000000" w:rsidRPr="00000000" w14:paraId="000005B1">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TRATAMIENTO / CONTROLES A SER IMPLEMENTADOS</w:t>
            </w:r>
          </w:p>
        </w:tc>
        <w:tc>
          <w:tcPr>
            <w:gridSpan w:val="4"/>
            <w:shd w:fill="8db4e3" w:val="clear"/>
            <w:vAlign w:val="center"/>
          </w:tcPr>
          <w:p w:rsidR="00000000" w:rsidDel="00000000" w:rsidP="00000000" w:rsidRDefault="00000000" w:rsidRPr="00000000" w14:paraId="000005B2">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IMPACTO DESPUES DEL TRATAMIENTO</w:t>
            </w:r>
          </w:p>
        </w:tc>
        <w:tc>
          <w:tcPr>
            <w:vMerge w:val="restart"/>
            <w:shd w:fill="8db4e3" w:val="clear"/>
            <w:vAlign w:val="center"/>
          </w:tcPr>
          <w:p w:rsidR="00000000" w:rsidDel="00000000" w:rsidP="00000000" w:rsidRDefault="00000000" w:rsidRPr="00000000" w14:paraId="000005B6">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¿AFECTA LA EJECUCIÓN DEL CONTRATO?</w:t>
            </w:r>
          </w:p>
        </w:tc>
        <w:tc>
          <w:tcPr>
            <w:vMerge w:val="restart"/>
            <w:shd w:fill="8db4e3" w:val="clear"/>
            <w:vAlign w:val="center"/>
          </w:tcPr>
          <w:p w:rsidR="00000000" w:rsidDel="00000000" w:rsidP="00000000" w:rsidRDefault="00000000" w:rsidRPr="00000000" w14:paraId="000005B7">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PERSONA RESPONSABLE POR IMPLEMENTAR EL TRATAMIENTO</w:t>
            </w:r>
          </w:p>
        </w:tc>
        <w:tc>
          <w:tcPr>
            <w:shd w:fill="8db4e3" w:val="clear"/>
          </w:tcPr>
          <w:p w:rsidR="00000000" w:rsidDel="00000000" w:rsidP="00000000" w:rsidRDefault="00000000" w:rsidRPr="00000000" w14:paraId="000005B8">
            <w:pPr>
              <w:spacing w:line="276" w:lineRule="auto"/>
              <w:jc w:val="center"/>
              <w:rPr>
                <w:rFonts w:ascii="Arial" w:cs="Arial" w:eastAsia="Arial" w:hAnsi="Arial"/>
                <w:b w:val="1"/>
                <w:color w:val="000000"/>
                <w:sz w:val="14"/>
                <w:szCs w:val="14"/>
              </w:rPr>
            </w:pPr>
            <w:r w:rsidDel="00000000" w:rsidR="00000000" w:rsidRPr="00000000">
              <w:rPr>
                <w:rtl w:val="0"/>
              </w:rPr>
            </w:r>
          </w:p>
        </w:tc>
        <w:tc>
          <w:tcPr>
            <w:vMerge w:val="restart"/>
            <w:shd w:fill="8db4e3" w:val="clear"/>
            <w:vAlign w:val="center"/>
          </w:tcPr>
          <w:p w:rsidR="00000000" w:rsidDel="00000000" w:rsidP="00000000" w:rsidRDefault="00000000" w:rsidRPr="00000000" w14:paraId="000005B9">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FECHA ESTIMADA EN QUE SE INCIA EL TRATAMIENTO</w:t>
            </w:r>
          </w:p>
        </w:tc>
        <w:tc>
          <w:tcPr>
            <w:vMerge w:val="restart"/>
            <w:shd w:fill="8db4e3" w:val="clear"/>
            <w:vAlign w:val="center"/>
          </w:tcPr>
          <w:p w:rsidR="00000000" w:rsidDel="00000000" w:rsidP="00000000" w:rsidRDefault="00000000" w:rsidRPr="00000000" w14:paraId="000005BA">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FECHA ESTIMADA EN QUE SE COMPLETA EL TRATAMIENTO</w:t>
            </w:r>
          </w:p>
        </w:tc>
        <w:tc>
          <w:tcPr>
            <w:gridSpan w:val="2"/>
            <w:shd w:fill="8db4e3" w:val="clear"/>
            <w:vAlign w:val="center"/>
          </w:tcPr>
          <w:p w:rsidR="00000000" w:rsidDel="00000000" w:rsidP="00000000" w:rsidRDefault="00000000" w:rsidRPr="00000000" w14:paraId="000005BB">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MONITOREO Y REVISION</w:t>
            </w:r>
          </w:p>
        </w:tc>
      </w:tr>
      <w:tr>
        <w:trPr>
          <w:cantSplit w:val="0"/>
          <w:trHeight w:val="1598" w:hRule="atLeast"/>
          <w:tblHeader w:val="0"/>
        </w:trPr>
        <w:tc>
          <w:tcPr>
            <w:vMerge w:val="continue"/>
            <w:shd w:fill="8db4e3" w:val="clear"/>
            <w:vAlign w:val="center"/>
          </w:tcPr>
          <w:p w:rsidR="00000000" w:rsidDel="00000000" w:rsidP="00000000" w:rsidRDefault="00000000" w:rsidRPr="00000000" w14:paraId="000005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shd w:fill="8db4e3" w:val="clear"/>
            <w:vAlign w:val="center"/>
          </w:tcPr>
          <w:p w:rsidR="00000000" w:rsidDel="00000000" w:rsidP="00000000" w:rsidRDefault="00000000" w:rsidRPr="00000000" w14:paraId="000005CA">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PROBABILIDAD</w:t>
            </w:r>
          </w:p>
        </w:tc>
        <w:tc>
          <w:tcPr>
            <w:shd w:fill="8db4e3" w:val="clear"/>
            <w:vAlign w:val="center"/>
          </w:tcPr>
          <w:p w:rsidR="00000000" w:rsidDel="00000000" w:rsidP="00000000" w:rsidRDefault="00000000" w:rsidRPr="00000000" w14:paraId="000005CB">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IMPACTO</w:t>
            </w:r>
          </w:p>
        </w:tc>
        <w:tc>
          <w:tcPr>
            <w:shd w:fill="8db4e3" w:val="clear"/>
            <w:vAlign w:val="center"/>
          </w:tcPr>
          <w:p w:rsidR="00000000" w:rsidDel="00000000" w:rsidP="00000000" w:rsidRDefault="00000000" w:rsidRPr="00000000" w14:paraId="000005CC">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VALORACION DEL RIESGO</w:t>
            </w:r>
          </w:p>
        </w:tc>
        <w:tc>
          <w:tcPr>
            <w:shd w:fill="8db4e3" w:val="clear"/>
            <w:vAlign w:val="center"/>
          </w:tcPr>
          <w:p w:rsidR="00000000" w:rsidDel="00000000" w:rsidP="00000000" w:rsidRDefault="00000000" w:rsidRPr="00000000" w14:paraId="000005CD">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CATEGORIA</w:t>
            </w:r>
          </w:p>
        </w:tc>
        <w:tc>
          <w:tcPr>
            <w:vMerge w:val="continue"/>
            <w:shd w:fill="8db4e3" w:val="clear"/>
            <w:vAlign w:val="center"/>
          </w:tcPr>
          <w:p w:rsidR="00000000" w:rsidDel="00000000" w:rsidP="00000000" w:rsidRDefault="00000000" w:rsidRPr="00000000" w14:paraId="000005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p w:rsidR="00000000" w:rsidDel="00000000" w:rsidP="00000000" w:rsidRDefault="00000000" w:rsidRPr="00000000" w14:paraId="000005D0">
            <w:pPr>
              <w:spacing w:line="276" w:lineRule="auto"/>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vMerge w:val="continue"/>
            <w:shd w:fill="8db4e3" w:val="clear"/>
            <w:vAlign w:val="center"/>
          </w:tcPr>
          <w:p w:rsidR="00000000" w:rsidDel="00000000" w:rsidP="00000000" w:rsidRDefault="00000000" w:rsidRPr="00000000" w14:paraId="000005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4"/>
                <w:szCs w:val="14"/>
              </w:rPr>
            </w:pPr>
            <w:r w:rsidDel="00000000" w:rsidR="00000000" w:rsidRPr="00000000">
              <w:rPr>
                <w:rtl w:val="0"/>
              </w:rPr>
            </w:r>
          </w:p>
        </w:tc>
        <w:tc>
          <w:tcPr>
            <w:shd w:fill="8db4e3" w:val="clear"/>
            <w:vAlign w:val="center"/>
          </w:tcPr>
          <w:p w:rsidR="00000000" w:rsidDel="00000000" w:rsidP="00000000" w:rsidRDefault="00000000" w:rsidRPr="00000000" w14:paraId="000005D3">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¿COMO SE REALIZA EL MONITOREO?</w:t>
            </w:r>
          </w:p>
        </w:tc>
        <w:tc>
          <w:tcPr>
            <w:shd w:fill="8db4e3" w:val="clear"/>
            <w:vAlign w:val="center"/>
          </w:tcPr>
          <w:p w:rsidR="00000000" w:rsidDel="00000000" w:rsidP="00000000" w:rsidRDefault="00000000" w:rsidRPr="00000000" w14:paraId="000005D4">
            <w:pPr>
              <w:spacing w:line="276" w:lineRule="auto"/>
              <w:jc w:val="center"/>
              <w:rPr>
                <w:rFonts w:ascii="Arial" w:cs="Arial" w:eastAsia="Arial" w:hAnsi="Arial"/>
                <w:b w:val="1"/>
                <w:color w:val="000000"/>
                <w:sz w:val="14"/>
                <w:szCs w:val="14"/>
              </w:rPr>
            </w:pPr>
            <w:r w:rsidDel="00000000" w:rsidR="00000000" w:rsidRPr="00000000">
              <w:rPr>
                <w:rFonts w:ascii="Arial" w:cs="Arial" w:eastAsia="Arial" w:hAnsi="Arial"/>
                <w:b w:val="1"/>
                <w:color w:val="000000"/>
                <w:sz w:val="14"/>
                <w:szCs w:val="14"/>
                <w:rtl w:val="0"/>
              </w:rPr>
              <w:t xml:space="preserve">PERIORICIDAD ¿CUÁNDO?</w:t>
            </w:r>
          </w:p>
        </w:tc>
      </w:tr>
      <w:tr>
        <w:trPr>
          <w:cantSplit w:val="0"/>
          <w:trHeight w:val="2689" w:hRule="atLeast"/>
          <w:tblHeader w:val="0"/>
        </w:trPr>
        <w:tc>
          <w:tcPr>
            <w:shd w:fill="auto" w:val="clear"/>
            <w:vAlign w:val="center"/>
          </w:tcPr>
          <w:p w:rsidR="00000000" w:rsidDel="00000000" w:rsidP="00000000" w:rsidRDefault="00000000" w:rsidRPr="00000000" w14:paraId="000005D5">
            <w:pPr>
              <w:spacing w:line="276" w:lineRule="auto"/>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1</w:t>
            </w:r>
          </w:p>
        </w:tc>
        <w:tc>
          <w:tcPr>
            <w:shd w:fill="auto" w:val="clear"/>
            <w:vAlign w:val="center"/>
          </w:tcPr>
          <w:p w:rsidR="00000000" w:rsidDel="00000000" w:rsidP="00000000" w:rsidRDefault="00000000" w:rsidRPr="00000000" w14:paraId="000005D6">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General</w:t>
            </w:r>
          </w:p>
        </w:tc>
        <w:tc>
          <w:tcPr>
            <w:shd w:fill="auto" w:val="clear"/>
            <w:vAlign w:val="center"/>
          </w:tcPr>
          <w:p w:rsidR="00000000" w:rsidDel="00000000" w:rsidP="00000000" w:rsidRDefault="00000000" w:rsidRPr="00000000" w14:paraId="000005D7">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Externo</w:t>
            </w:r>
          </w:p>
        </w:tc>
        <w:tc>
          <w:tcPr>
            <w:shd w:fill="auto" w:val="clear"/>
            <w:vAlign w:val="center"/>
          </w:tcPr>
          <w:p w:rsidR="00000000" w:rsidDel="00000000" w:rsidP="00000000" w:rsidRDefault="00000000" w:rsidRPr="00000000" w14:paraId="000005D8">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Selección</w:t>
            </w:r>
          </w:p>
        </w:tc>
        <w:tc>
          <w:tcPr>
            <w:shd w:fill="auto" w:val="clear"/>
            <w:vAlign w:val="center"/>
          </w:tcPr>
          <w:p w:rsidR="00000000" w:rsidDel="00000000" w:rsidP="00000000" w:rsidRDefault="00000000" w:rsidRPr="00000000" w14:paraId="000005D9">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Económico</w:t>
            </w:r>
          </w:p>
        </w:tc>
        <w:tc>
          <w:tcPr>
            <w:shd w:fill="auto" w:val="clear"/>
            <w:vAlign w:val="center"/>
          </w:tcPr>
          <w:p w:rsidR="00000000" w:rsidDel="00000000" w:rsidP="00000000" w:rsidRDefault="00000000" w:rsidRPr="00000000" w14:paraId="000005DA">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Que los precios ofertados por   los proponentes sean considerados artificialmente bajos o no se ajusten a la realidad</w:t>
            </w:r>
          </w:p>
        </w:tc>
        <w:tc>
          <w:tcPr>
            <w:shd w:fill="auto" w:val="clear"/>
            <w:vAlign w:val="center"/>
          </w:tcPr>
          <w:p w:rsidR="00000000" w:rsidDel="00000000" w:rsidP="00000000" w:rsidRDefault="00000000" w:rsidRPr="00000000" w14:paraId="000005DB">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Que los bienes solicitados no cumplan con la calidad esperada</w:t>
            </w:r>
          </w:p>
        </w:tc>
        <w:tc>
          <w:tcPr>
            <w:shd w:fill="auto" w:val="clear"/>
            <w:vAlign w:val="center"/>
          </w:tcPr>
          <w:p w:rsidR="00000000" w:rsidDel="00000000" w:rsidP="00000000" w:rsidRDefault="00000000" w:rsidRPr="00000000" w14:paraId="000005DC">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4</w:t>
            </w:r>
          </w:p>
        </w:tc>
        <w:tc>
          <w:tcPr>
            <w:shd w:fill="auto" w:val="clear"/>
            <w:vAlign w:val="center"/>
          </w:tcPr>
          <w:p w:rsidR="00000000" w:rsidDel="00000000" w:rsidP="00000000" w:rsidRDefault="00000000" w:rsidRPr="00000000" w14:paraId="000005DD">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4</w:t>
            </w:r>
          </w:p>
        </w:tc>
        <w:tc>
          <w:tcPr>
            <w:shd w:fill="auto" w:val="clear"/>
            <w:vAlign w:val="center"/>
          </w:tcPr>
          <w:p w:rsidR="00000000" w:rsidDel="00000000" w:rsidP="00000000" w:rsidRDefault="00000000" w:rsidRPr="00000000" w14:paraId="000005DE">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8</w:t>
            </w:r>
          </w:p>
        </w:tc>
        <w:tc>
          <w:tcPr>
            <w:shd w:fill="auto" w:val="clear"/>
            <w:vAlign w:val="center"/>
          </w:tcPr>
          <w:p w:rsidR="00000000" w:rsidDel="00000000" w:rsidP="00000000" w:rsidRDefault="00000000" w:rsidRPr="00000000" w14:paraId="000005DF">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Riesgo extremo</w:t>
            </w:r>
          </w:p>
        </w:tc>
        <w:tc>
          <w:tcPr>
            <w:shd w:fill="auto" w:val="clear"/>
            <w:vAlign w:val="center"/>
          </w:tcPr>
          <w:p w:rsidR="00000000" w:rsidDel="00000000" w:rsidP="00000000" w:rsidRDefault="00000000" w:rsidRPr="00000000" w14:paraId="000005E0">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Contratista</w:t>
            </w:r>
          </w:p>
        </w:tc>
        <w:tc>
          <w:tcPr>
            <w:shd w:fill="auto" w:val="clear"/>
            <w:vAlign w:val="center"/>
          </w:tcPr>
          <w:p w:rsidR="00000000" w:rsidDel="00000000" w:rsidP="00000000" w:rsidRDefault="00000000" w:rsidRPr="00000000" w14:paraId="000005E1">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Requerir al contratista para que los elementos entregados y el servicio prestado sean   de la calidad esperada</w:t>
            </w:r>
          </w:p>
        </w:tc>
        <w:tc>
          <w:tcPr>
            <w:shd w:fill="auto" w:val="clear"/>
            <w:vAlign w:val="center"/>
          </w:tcPr>
          <w:p w:rsidR="00000000" w:rsidDel="00000000" w:rsidP="00000000" w:rsidRDefault="00000000" w:rsidRPr="00000000" w14:paraId="000005E2">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2</w:t>
            </w:r>
          </w:p>
        </w:tc>
        <w:tc>
          <w:tcPr>
            <w:shd w:fill="auto" w:val="clear"/>
            <w:vAlign w:val="center"/>
          </w:tcPr>
          <w:p w:rsidR="00000000" w:rsidDel="00000000" w:rsidP="00000000" w:rsidRDefault="00000000" w:rsidRPr="00000000" w14:paraId="000005E3">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2</w:t>
            </w:r>
          </w:p>
        </w:tc>
        <w:tc>
          <w:tcPr>
            <w:shd w:fill="auto" w:val="clear"/>
            <w:vAlign w:val="center"/>
          </w:tcPr>
          <w:p w:rsidR="00000000" w:rsidDel="00000000" w:rsidP="00000000" w:rsidRDefault="00000000" w:rsidRPr="00000000" w14:paraId="000005E4">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w:t>
            </w:r>
          </w:p>
        </w:tc>
        <w:tc>
          <w:tcPr>
            <w:shd w:fill="auto" w:val="clear"/>
            <w:vAlign w:val="center"/>
          </w:tcPr>
          <w:p w:rsidR="00000000" w:rsidDel="00000000" w:rsidP="00000000" w:rsidRDefault="00000000" w:rsidRPr="00000000" w14:paraId="000005E5">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Riesgo bajo</w:t>
            </w:r>
          </w:p>
        </w:tc>
        <w:tc>
          <w:tcPr>
            <w:shd w:fill="auto" w:val="clear"/>
            <w:vAlign w:val="center"/>
          </w:tcPr>
          <w:p w:rsidR="00000000" w:rsidDel="00000000" w:rsidP="00000000" w:rsidRDefault="00000000" w:rsidRPr="00000000" w14:paraId="000005E6">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Si</w:t>
            </w:r>
          </w:p>
        </w:tc>
        <w:tc>
          <w:tcPr>
            <w:shd w:fill="auto" w:val="clear"/>
            <w:vAlign w:val="center"/>
          </w:tcPr>
          <w:p w:rsidR="00000000" w:rsidDel="00000000" w:rsidP="00000000" w:rsidRDefault="00000000" w:rsidRPr="00000000" w14:paraId="000005E7">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Municipio</w:t>
            </w:r>
          </w:p>
        </w:tc>
        <w:tc>
          <w:tcPr/>
          <w:p w:rsidR="00000000" w:rsidDel="00000000" w:rsidP="00000000" w:rsidRDefault="00000000" w:rsidRPr="00000000" w14:paraId="000005E8">
            <w:pPr>
              <w:spacing w:line="276" w:lineRule="auto"/>
              <w:jc w:val="center"/>
              <w:rPr>
                <w:rFonts w:ascii="Arial" w:cs="Arial" w:eastAsia="Arial" w:hAnsi="Arial"/>
                <w:color w:val="000000"/>
                <w:sz w:val="15"/>
                <w:szCs w:val="15"/>
              </w:rPr>
            </w:pPr>
            <w:r w:rsidDel="00000000" w:rsidR="00000000" w:rsidRPr="00000000">
              <w:rPr>
                <w:rtl w:val="0"/>
              </w:rPr>
            </w:r>
          </w:p>
        </w:tc>
        <w:tc>
          <w:tcPr>
            <w:shd w:fill="auto" w:val="clear"/>
            <w:vAlign w:val="center"/>
          </w:tcPr>
          <w:p w:rsidR="00000000" w:rsidDel="00000000" w:rsidP="00000000" w:rsidRDefault="00000000" w:rsidRPr="00000000" w14:paraId="000005E9">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Hasta 2 días hábiles después de   detectado     el riesgo</w:t>
            </w:r>
          </w:p>
        </w:tc>
        <w:tc>
          <w:tcPr>
            <w:shd w:fill="auto" w:val="clear"/>
            <w:vAlign w:val="center"/>
          </w:tcPr>
          <w:p w:rsidR="00000000" w:rsidDel="00000000" w:rsidP="00000000" w:rsidRDefault="00000000" w:rsidRPr="00000000" w14:paraId="000005EA">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 días después de detectado el riesgo</w:t>
            </w:r>
          </w:p>
        </w:tc>
        <w:tc>
          <w:tcPr>
            <w:shd w:fill="auto" w:val="clear"/>
            <w:vAlign w:val="center"/>
          </w:tcPr>
          <w:p w:rsidR="00000000" w:rsidDel="00000000" w:rsidP="00000000" w:rsidRDefault="00000000" w:rsidRPr="00000000" w14:paraId="000005EB">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Documentando las labores de     monitoreo realizadas por el contratista, de acuerdo    a los lineamientos de su supervisor</w:t>
            </w:r>
          </w:p>
        </w:tc>
        <w:tc>
          <w:tcPr>
            <w:shd w:fill="auto" w:val="clear"/>
            <w:vAlign w:val="center"/>
          </w:tcPr>
          <w:p w:rsidR="00000000" w:rsidDel="00000000" w:rsidP="00000000" w:rsidRDefault="00000000" w:rsidRPr="00000000" w14:paraId="000005EC">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Mensualmente</w:t>
            </w:r>
          </w:p>
        </w:tc>
      </w:tr>
      <w:tr>
        <w:trPr>
          <w:cantSplit w:val="0"/>
          <w:trHeight w:val="2521" w:hRule="atLeast"/>
          <w:tblHeader w:val="0"/>
        </w:trPr>
        <w:tc>
          <w:tcPr>
            <w:shd w:fill="auto" w:val="clear"/>
            <w:vAlign w:val="center"/>
          </w:tcPr>
          <w:p w:rsidR="00000000" w:rsidDel="00000000" w:rsidP="00000000" w:rsidRDefault="00000000" w:rsidRPr="00000000" w14:paraId="000005ED">
            <w:pPr>
              <w:spacing w:line="276" w:lineRule="auto"/>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2</w:t>
            </w:r>
          </w:p>
        </w:tc>
        <w:tc>
          <w:tcPr>
            <w:shd w:fill="auto" w:val="clear"/>
            <w:vAlign w:val="center"/>
          </w:tcPr>
          <w:p w:rsidR="00000000" w:rsidDel="00000000" w:rsidP="00000000" w:rsidRDefault="00000000" w:rsidRPr="00000000" w14:paraId="000005EE">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Especifico</w:t>
            </w:r>
          </w:p>
        </w:tc>
        <w:tc>
          <w:tcPr>
            <w:shd w:fill="auto" w:val="clear"/>
            <w:vAlign w:val="center"/>
          </w:tcPr>
          <w:p w:rsidR="00000000" w:rsidDel="00000000" w:rsidP="00000000" w:rsidRDefault="00000000" w:rsidRPr="00000000" w14:paraId="000005EF">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Externo</w:t>
            </w:r>
          </w:p>
        </w:tc>
        <w:tc>
          <w:tcPr>
            <w:shd w:fill="auto" w:val="clear"/>
            <w:vAlign w:val="center"/>
          </w:tcPr>
          <w:p w:rsidR="00000000" w:rsidDel="00000000" w:rsidP="00000000" w:rsidRDefault="00000000" w:rsidRPr="00000000" w14:paraId="000005F0">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Ejecución</w:t>
            </w:r>
          </w:p>
        </w:tc>
        <w:tc>
          <w:tcPr>
            <w:shd w:fill="auto" w:val="clear"/>
            <w:vAlign w:val="center"/>
          </w:tcPr>
          <w:p w:rsidR="00000000" w:rsidDel="00000000" w:rsidP="00000000" w:rsidRDefault="00000000" w:rsidRPr="00000000" w14:paraId="000005F1">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Operacional</w:t>
            </w:r>
          </w:p>
        </w:tc>
        <w:tc>
          <w:tcPr>
            <w:shd w:fill="auto" w:val="clear"/>
            <w:vAlign w:val="center"/>
          </w:tcPr>
          <w:p w:rsidR="00000000" w:rsidDel="00000000" w:rsidP="00000000" w:rsidRDefault="00000000" w:rsidRPr="00000000" w14:paraId="000005F2">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Que el contratista no cumpla con los suministros y/o el servicio requerido en los tiempos solicitados</w:t>
            </w:r>
          </w:p>
        </w:tc>
        <w:tc>
          <w:tcPr>
            <w:shd w:fill="auto" w:val="clear"/>
            <w:vAlign w:val="center"/>
          </w:tcPr>
          <w:p w:rsidR="00000000" w:rsidDel="00000000" w:rsidP="00000000" w:rsidRDefault="00000000" w:rsidRPr="00000000" w14:paraId="000005F3">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Que los bienes solicitados y/o el servicio contratado no cumplan con la calidad esperada</w:t>
            </w:r>
          </w:p>
        </w:tc>
        <w:tc>
          <w:tcPr>
            <w:shd w:fill="auto" w:val="clear"/>
            <w:vAlign w:val="center"/>
          </w:tcPr>
          <w:p w:rsidR="00000000" w:rsidDel="00000000" w:rsidP="00000000" w:rsidRDefault="00000000" w:rsidRPr="00000000" w14:paraId="000005F4">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w:t>
            </w:r>
          </w:p>
        </w:tc>
        <w:tc>
          <w:tcPr>
            <w:shd w:fill="auto" w:val="clear"/>
            <w:vAlign w:val="center"/>
          </w:tcPr>
          <w:p w:rsidR="00000000" w:rsidDel="00000000" w:rsidP="00000000" w:rsidRDefault="00000000" w:rsidRPr="00000000" w14:paraId="000005F5">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4</w:t>
            </w:r>
          </w:p>
        </w:tc>
        <w:tc>
          <w:tcPr>
            <w:shd w:fill="auto" w:val="clear"/>
            <w:vAlign w:val="center"/>
          </w:tcPr>
          <w:p w:rsidR="00000000" w:rsidDel="00000000" w:rsidP="00000000" w:rsidRDefault="00000000" w:rsidRPr="00000000" w14:paraId="000005F6">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7</w:t>
            </w:r>
          </w:p>
        </w:tc>
        <w:tc>
          <w:tcPr>
            <w:shd w:fill="auto" w:val="clear"/>
            <w:vAlign w:val="center"/>
          </w:tcPr>
          <w:p w:rsidR="00000000" w:rsidDel="00000000" w:rsidP="00000000" w:rsidRDefault="00000000" w:rsidRPr="00000000" w14:paraId="000005F7">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Riesgo alto</w:t>
            </w:r>
          </w:p>
        </w:tc>
        <w:tc>
          <w:tcPr>
            <w:shd w:fill="auto" w:val="clear"/>
            <w:vAlign w:val="center"/>
          </w:tcPr>
          <w:p w:rsidR="00000000" w:rsidDel="00000000" w:rsidP="00000000" w:rsidRDefault="00000000" w:rsidRPr="00000000" w14:paraId="000005F8">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Contratista</w:t>
            </w:r>
          </w:p>
        </w:tc>
        <w:tc>
          <w:tcPr>
            <w:shd w:fill="auto" w:val="clear"/>
            <w:vAlign w:val="center"/>
          </w:tcPr>
          <w:p w:rsidR="00000000" w:rsidDel="00000000" w:rsidP="00000000" w:rsidRDefault="00000000" w:rsidRPr="00000000" w14:paraId="000005F9">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Que el supervisor requiera de ser necesario al contratista para establecer unos tiempos prudentes para la entrega del suministro y/o la mejora de la prestación del servicio solicitado</w:t>
            </w:r>
          </w:p>
        </w:tc>
        <w:tc>
          <w:tcPr>
            <w:shd w:fill="auto" w:val="clear"/>
            <w:vAlign w:val="center"/>
          </w:tcPr>
          <w:p w:rsidR="00000000" w:rsidDel="00000000" w:rsidP="00000000" w:rsidRDefault="00000000" w:rsidRPr="00000000" w14:paraId="000005FA">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2</w:t>
            </w:r>
          </w:p>
        </w:tc>
        <w:tc>
          <w:tcPr>
            <w:shd w:fill="auto" w:val="clear"/>
            <w:vAlign w:val="center"/>
          </w:tcPr>
          <w:p w:rsidR="00000000" w:rsidDel="00000000" w:rsidP="00000000" w:rsidRDefault="00000000" w:rsidRPr="00000000" w14:paraId="000005FB">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w:t>
            </w:r>
          </w:p>
        </w:tc>
        <w:tc>
          <w:tcPr>
            <w:shd w:fill="auto" w:val="clear"/>
            <w:vAlign w:val="center"/>
          </w:tcPr>
          <w:p w:rsidR="00000000" w:rsidDel="00000000" w:rsidP="00000000" w:rsidRDefault="00000000" w:rsidRPr="00000000" w14:paraId="000005FC">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5</w:t>
            </w:r>
          </w:p>
        </w:tc>
        <w:tc>
          <w:tcPr>
            <w:shd w:fill="auto" w:val="clear"/>
            <w:vAlign w:val="center"/>
          </w:tcPr>
          <w:p w:rsidR="00000000" w:rsidDel="00000000" w:rsidP="00000000" w:rsidRDefault="00000000" w:rsidRPr="00000000" w14:paraId="000005FD">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Riesgo medio</w:t>
            </w:r>
          </w:p>
        </w:tc>
        <w:tc>
          <w:tcPr>
            <w:shd w:fill="auto" w:val="clear"/>
            <w:vAlign w:val="center"/>
          </w:tcPr>
          <w:p w:rsidR="00000000" w:rsidDel="00000000" w:rsidP="00000000" w:rsidRDefault="00000000" w:rsidRPr="00000000" w14:paraId="000005FE">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Si</w:t>
            </w:r>
          </w:p>
        </w:tc>
        <w:tc>
          <w:tcPr>
            <w:shd w:fill="auto" w:val="clear"/>
            <w:vAlign w:val="center"/>
          </w:tcPr>
          <w:p w:rsidR="00000000" w:rsidDel="00000000" w:rsidP="00000000" w:rsidRDefault="00000000" w:rsidRPr="00000000" w14:paraId="000005FF">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Contratista</w:t>
            </w:r>
          </w:p>
        </w:tc>
        <w:tc>
          <w:tcPr/>
          <w:p w:rsidR="00000000" w:rsidDel="00000000" w:rsidP="00000000" w:rsidRDefault="00000000" w:rsidRPr="00000000" w14:paraId="00000600">
            <w:pPr>
              <w:spacing w:line="276" w:lineRule="auto"/>
              <w:jc w:val="center"/>
              <w:rPr>
                <w:rFonts w:ascii="Arial" w:cs="Arial" w:eastAsia="Arial" w:hAnsi="Arial"/>
                <w:color w:val="000000"/>
                <w:sz w:val="15"/>
                <w:szCs w:val="15"/>
              </w:rPr>
            </w:pPr>
            <w:r w:rsidDel="00000000" w:rsidR="00000000" w:rsidRPr="00000000">
              <w:rPr>
                <w:rtl w:val="0"/>
              </w:rPr>
            </w:r>
          </w:p>
        </w:tc>
        <w:tc>
          <w:tcPr>
            <w:shd w:fill="auto" w:val="clear"/>
            <w:vAlign w:val="center"/>
          </w:tcPr>
          <w:p w:rsidR="00000000" w:rsidDel="00000000" w:rsidP="00000000" w:rsidRDefault="00000000" w:rsidRPr="00000000" w14:paraId="00000601">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Hasta 5 días calendario después de detectado el riesgo</w:t>
            </w:r>
          </w:p>
        </w:tc>
        <w:tc>
          <w:tcPr>
            <w:shd w:fill="auto" w:val="clear"/>
            <w:vAlign w:val="center"/>
          </w:tcPr>
          <w:p w:rsidR="00000000" w:rsidDel="00000000" w:rsidP="00000000" w:rsidRDefault="00000000" w:rsidRPr="00000000" w14:paraId="00000602">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7 días calendario después de detectado el riesgo</w:t>
            </w:r>
          </w:p>
        </w:tc>
        <w:tc>
          <w:tcPr>
            <w:shd w:fill="auto" w:val="clear"/>
            <w:vAlign w:val="center"/>
          </w:tcPr>
          <w:p w:rsidR="00000000" w:rsidDel="00000000" w:rsidP="00000000" w:rsidRDefault="00000000" w:rsidRPr="00000000" w14:paraId="00000603">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Documentando las labores de monitoreo por parte de la interventoría, de acuerdo   a los lineamientos de su supervisor</w:t>
            </w:r>
          </w:p>
        </w:tc>
        <w:tc>
          <w:tcPr>
            <w:shd w:fill="auto" w:val="clear"/>
            <w:vAlign w:val="center"/>
          </w:tcPr>
          <w:p w:rsidR="00000000" w:rsidDel="00000000" w:rsidP="00000000" w:rsidRDefault="00000000" w:rsidRPr="00000000" w14:paraId="00000604">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Mensualmente</w:t>
            </w:r>
          </w:p>
        </w:tc>
      </w:tr>
      <w:tr>
        <w:trPr>
          <w:cantSplit w:val="0"/>
          <w:trHeight w:val="2674" w:hRule="atLeast"/>
          <w:tblHeader w:val="0"/>
        </w:trPr>
        <w:tc>
          <w:tcPr>
            <w:shd w:fill="auto" w:val="clear"/>
            <w:vAlign w:val="center"/>
          </w:tcPr>
          <w:p w:rsidR="00000000" w:rsidDel="00000000" w:rsidP="00000000" w:rsidRDefault="00000000" w:rsidRPr="00000000" w14:paraId="00000605">
            <w:pPr>
              <w:spacing w:line="276" w:lineRule="auto"/>
              <w:jc w:val="center"/>
              <w:rPr>
                <w:rFonts w:ascii="Arial" w:cs="Arial" w:eastAsia="Arial" w:hAnsi="Arial"/>
                <w:b w:val="1"/>
                <w:color w:val="000000"/>
                <w:sz w:val="15"/>
                <w:szCs w:val="15"/>
              </w:rPr>
            </w:pPr>
            <w:r w:rsidDel="00000000" w:rsidR="00000000" w:rsidRPr="00000000">
              <w:rPr>
                <w:rFonts w:ascii="Arial" w:cs="Arial" w:eastAsia="Arial" w:hAnsi="Arial"/>
                <w:b w:val="1"/>
                <w:color w:val="000000"/>
                <w:sz w:val="15"/>
                <w:szCs w:val="15"/>
                <w:rtl w:val="0"/>
              </w:rPr>
              <w:t xml:space="preserve">3</w:t>
            </w:r>
          </w:p>
        </w:tc>
        <w:tc>
          <w:tcPr>
            <w:shd w:fill="auto" w:val="clear"/>
            <w:vAlign w:val="center"/>
          </w:tcPr>
          <w:p w:rsidR="00000000" w:rsidDel="00000000" w:rsidP="00000000" w:rsidRDefault="00000000" w:rsidRPr="00000000" w14:paraId="00000606">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Especifico</w:t>
            </w:r>
          </w:p>
        </w:tc>
        <w:tc>
          <w:tcPr>
            <w:shd w:fill="auto" w:val="clear"/>
            <w:vAlign w:val="center"/>
          </w:tcPr>
          <w:p w:rsidR="00000000" w:rsidDel="00000000" w:rsidP="00000000" w:rsidRDefault="00000000" w:rsidRPr="00000000" w14:paraId="00000607">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Externo</w:t>
            </w:r>
          </w:p>
        </w:tc>
        <w:tc>
          <w:tcPr>
            <w:shd w:fill="auto" w:val="clear"/>
            <w:vAlign w:val="center"/>
          </w:tcPr>
          <w:p w:rsidR="00000000" w:rsidDel="00000000" w:rsidP="00000000" w:rsidRDefault="00000000" w:rsidRPr="00000000" w14:paraId="00000608">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Ejecución</w:t>
            </w:r>
          </w:p>
        </w:tc>
        <w:tc>
          <w:tcPr>
            <w:shd w:fill="auto" w:val="clear"/>
            <w:vAlign w:val="center"/>
          </w:tcPr>
          <w:p w:rsidR="00000000" w:rsidDel="00000000" w:rsidP="00000000" w:rsidRDefault="00000000" w:rsidRPr="00000000" w14:paraId="00000609">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Económico</w:t>
            </w:r>
          </w:p>
        </w:tc>
        <w:tc>
          <w:tcPr>
            <w:shd w:fill="auto" w:val="clear"/>
            <w:vAlign w:val="center"/>
          </w:tcPr>
          <w:p w:rsidR="00000000" w:rsidDel="00000000" w:rsidP="00000000" w:rsidRDefault="00000000" w:rsidRPr="00000000" w14:paraId="0000060A">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Fluctuación de los precios de los insumos o variación de la tabla de honorarios y/o salarios que establezca el gobierno nacional, desabastecimiento y especulación de los mismos, entre otros</w:t>
            </w:r>
          </w:p>
        </w:tc>
        <w:tc>
          <w:tcPr>
            <w:shd w:fill="auto" w:val="clear"/>
            <w:vAlign w:val="center"/>
          </w:tcPr>
          <w:p w:rsidR="00000000" w:rsidDel="00000000" w:rsidP="00000000" w:rsidRDefault="00000000" w:rsidRPr="00000000" w14:paraId="0000060B">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Que el contratista no cumpla con la ejecución del contrato por el incremento de los costos en los suministros o servicios prestados contratados</w:t>
            </w:r>
          </w:p>
        </w:tc>
        <w:tc>
          <w:tcPr>
            <w:shd w:fill="auto" w:val="clear"/>
            <w:vAlign w:val="center"/>
          </w:tcPr>
          <w:p w:rsidR="00000000" w:rsidDel="00000000" w:rsidP="00000000" w:rsidRDefault="00000000" w:rsidRPr="00000000" w14:paraId="0000060C">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w:t>
            </w:r>
          </w:p>
        </w:tc>
        <w:tc>
          <w:tcPr>
            <w:shd w:fill="auto" w:val="clear"/>
            <w:vAlign w:val="center"/>
          </w:tcPr>
          <w:p w:rsidR="00000000" w:rsidDel="00000000" w:rsidP="00000000" w:rsidRDefault="00000000" w:rsidRPr="00000000" w14:paraId="0000060D">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4</w:t>
            </w:r>
          </w:p>
        </w:tc>
        <w:tc>
          <w:tcPr>
            <w:shd w:fill="auto" w:val="clear"/>
            <w:vAlign w:val="center"/>
          </w:tcPr>
          <w:p w:rsidR="00000000" w:rsidDel="00000000" w:rsidP="00000000" w:rsidRDefault="00000000" w:rsidRPr="00000000" w14:paraId="0000060E">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7</w:t>
            </w:r>
          </w:p>
        </w:tc>
        <w:tc>
          <w:tcPr>
            <w:shd w:fill="auto" w:val="clear"/>
            <w:vAlign w:val="center"/>
          </w:tcPr>
          <w:p w:rsidR="00000000" w:rsidDel="00000000" w:rsidP="00000000" w:rsidRDefault="00000000" w:rsidRPr="00000000" w14:paraId="0000060F">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Riesgo alto</w:t>
            </w:r>
          </w:p>
        </w:tc>
        <w:tc>
          <w:tcPr>
            <w:shd w:fill="auto" w:val="clear"/>
            <w:vAlign w:val="center"/>
          </w:tcPr>
          <w:p w:rsidR="00000000" w:rsidDel="00000000" w:rsidP="00000000" w:rsidRDefault="00000000" w:rsidRPr="00000000" w14:paraId="00000610">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Contratista</w:t>
            </w:r>
          </w:p>
        </w:tc>
        <w:tc>
          <w:tcPr>
            <w:shd w:fill="auto" w:val="clear"/>
            <w:vAlign w:val="bottom"/>
          </w:tcPr>
          <w:p w:rsidR="00000000" w:rsidDel="00000000" w:rsidP="00000000" w:rsidRDefault="00000000" w:rsidRPr="00000000" w14:paraId="00000611">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Hacer exigible al contratista la vigencia de la oferta presentada y la vigencia del contrato que se suscribió</w:t>
            </w:r>
          </w:p>
        </w:tc>
        <w:tc>
          <w:tcPr>
            <w:shd w:fill="auto" w:val="clear"/>
            <w:vAlign w:val="center"/>
          </w:tcPr>
          <w:p w:rsidR="00000000" w:rsidDel="00000000" w:rsidP="00000000" w:rsidRDefault="00000000" w:rsidRPr="00000000" w14:paraId="00000612">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1</w:t>
            </w:r>
          </w:p>
        </w:tc>
        <w:tc>
          <w:tcPr>
            <w:shd w:fill="auto" w:val="clear"/>
            <w:vAlign w:val="center"/>
          </w:tcPr>
          <w:p w:rsidR="00000000" w:rsidDel="00000000" w:rsidP="00000000" w:rsidRDefault="00000000" w:rsidRPr="00000000" w14:paraId="00000613">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2</w:t>
            </w:r>
          </w:p>
        </w:tc>
        <w:tc>
          <w:tcPr>
            <w:shd w:fill="auto" w:val="clear"/>
            <w:vAlign w:val="center"/>
          </w:tcPr>
          <w:p w:rsidR="00000000" w:rsidDel="00000000" w:rsidP="00000000" w:rsidRDefault="00000000" w:rsidRPr="00000000" w14:paraId="00000614">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w:t>
            </w:r>
          </w:p>
        </w:tc>
        <w:tc>
          <w:tcPr>
            <w:shd w:fill="auto" w:val="clear"/>
            <w:vAlign w:val="center"/>
          </w:tcPr>
          <w:p w:rsidR="00000000" w:rsidDel="00000000" w:rsidP="00000000" w:rsidRDefault="00000000" w:rsidRPr="00000000" w14:paraId="00000615">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Riesgo bajo</w:t>
            </w:r>
          </w:p>
        </w:tc>
        <w:tc>
          <w:tcPr>
            <w:shd w:fill="auto" w:val="clear"/>
            <w:vAlign w:val="center"/>
          </w:tcPr>
          <w:p w:rsidR="00000000" w:rsidDel="00000000" w:rsidP="00000000" w:rsidRDefault="00000000" w:rsidRPr="00000000" w14:paraId="00000616">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Si</w:t>
            </w:r>
          </w:p>
        </w:tc>
        <w:tc>
          <w:tcPr>
            <w:shd w:fill="auto" w:val="clear"/>
            <w:vAlign w:val="center"/>
          </w:tcPr>
          <w:p w:rsidR="00000000" w:rsidDel="00000000" w:rsidP="00000000" w:rsidRDefault="00000000" w:rsidRPr="00000000" w14:paraId="00000617">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Municipio</w:t>
            </w:r>
          </w:p>
        </w:tc>
        <w:tc>
          <w:tcPr/>
          <w:p w:rsidR="00000000" w:rsidDel="00000000" w:rsidP="00000000" w:rsidRDefault="00000000" w:rsidRPr="00000000" w14:paraId="00000618">
            <w:pPr>
              <w:spacing w:line="276" w:lineRule="auto"/>
              <w:jc w:val="center"/>
              <w:rPr>
                <w:rFonts w:ascii="Arial" w:cs="Arial" w:eastAsia="Arial" w:hAnsi="Arial"/>
                <w:color w:val="000000"/>
                <w:sz w:val="15"/>
                <w:szCs w:val="15"/>
              </w:rPr>
            </w:pPr>
            <w:r w:rsidDel="00000000" w:rsidR="00000000" w:rsidRPr="00000000">
              <w:rPr>
                <w:rtl w:val="0"/>
              </w:rPr>
            </w:r>
          </w:p>
        </w:tc>
        <w:tc>
          <w:tcPr>
            <w:shd w:fill="auto" w:val="clear"/>
            <w:vAlign w:val="center"/>
          </w:tcPr>
          <w:p w:rsidR="00000000" w:rsidDel="00000000" w:rsidP="00000000" w:rsidRDefault="00000000" w:rsidRPr="00000000" w14:paraId="00000619">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Hasta 2 días hábiles después de detectado el riesgo</w:t>
            </w:r>
          </w:p>
        </w:tc>
        <w:tc>
          <w:tcPr>
            <w:shd w:fill="auto" w:val="clear"/>
            <w:vAlign w:val="center"/>
          </w:tcPr>
          <w:p w:rsidR="00000000" w:rsidDel="00000000" w:rsidP="00000000" w:rsidRDefault="00000000" w:rsidRPr="00000000" w14:paraId="0000061A">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3 días después de detectado el riesgo</w:t>
            </w:r>
          </w:p>
        </w:tc>
        <w:tc>
          <w:tcPr>
            <w:shd w:fill="auto" w:val="clear"/>
            <w:vAlign w:val="center"/>
          </w:tcPr>
          <w:p w:rsidR="00000000" w:rsidDel="00000000" w:rsidP="00000000" w:rsidRDefault="00000000" w:rsidRPr="00000000" w14:paraId="0000061B">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El contratista asumirá por su propia cuenta el costo de   las variaciones e incrementos que afecten la actividad     del contrato</w:t>
            </w:r>
          </w:p>
        </w:tc>
        <w:tc>
          <w:tcPr>
            <w:shd w:fill="auto" w:val="clear"/>
            <w:vAlign w:val="center"/>
          </w:tcPr>
          <w:p w:rsidR="00000000" w:rsidDel="00000000" w:rsidP="00000000" w:rsidRDefault="00000000" w:rsidRPr="00000000" w14:paraId="0000061C">
            <w:pPr>
              <w:spacing w:line="276" w:lineRule="auto"/>
              <w:jc w:val="center"/>
              <w:rPr>
                <w:rFonts w:ascii="Arial" w:cs="Arial" w:eastAsia="Arial" w:hAnsi="Arial"/>
                <w:color w:val="000000"/>
                <w:sz w:val="15"/>
                <w:szCs w:val="15"/>
              </w:rPr>
            </w:pPr>
            <w:r w:rsidDel="00000000" w:rsidR="00000000" w:rsidRPr="00000000">
              <w:rPr>
                <w:rFonts w:ascii="Arial" w:cs="Arial" w:eastAsia="Arial" w:hAnsi="Arial"/>
                <w:color w:val="000000"/>
                <w:sz w:val="15"/>
                <w:szCs w:val="15"/>
                <w:rtl w:val="0"/>
              </w:rPr>
              <w:t xml:space="preserve">Mensualmente</w:t>
            </w:r>
          </w:p>
        </w:tc>
      </w:tr>
    </w:tbl>
    <w:p w:rsidR="00000000" w:rsidDel="00000000" w:rsidP="00000000" w:rsidRDefault="00000000" w:rsidRPr="00000000" w14:paraId="000006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F">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MECANISMOS DE COBERTURA QUE GARANTIZAN LAS OBLIGACIONES SURGIDAS CON OCASIÓN DEL CONTRATO A CELEBRAR:</w:t>
      </w:r>
    </w:p>
    <w:p w:rsidR="00000000" w:rsidDel="00000000" w:rsidP="00000000" w:rsidRDefault="00000000" w:rsidRPr="00000000" w14:paraId="000006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 cumplimiento de lo establecido en la normatividad vigente, los riesgos que corre el SENA en el desarrollo del contrato se pueden amparar así:</w:t>
      </w:r>
      <w:r w:rsidDel="00000000" w:rsidR="00000000" w:rsidRPr="00000000">
        <w:rPr>
          <w:rtl w:val="0"/>
        </w:rPr>
      </w:r>
    </w:p>
    <w:p w:rsidR="00000000" w:rsidDel="00000000" w:rsidP="00000000" w:rsidRDefault="00000000" w:rsidRPr="00000000" w14:paraId="00000622">
      <w:pPr>
        <w:ind w:firstLine="708"/>
        <w:jc w:val="both"/>
        <w:rPr>
          <w:rFonts w:ascii="Arial" w:cs="Arial" w:eastAsia="Arial" w:hAnsi="Arial"/>
        </w:rPr>
      </w:pPr>
      <w:r w:rsidDel="00000000" w:rsidR="00000000" w:rsidRPr="00000000">
        <w:rPr>
          <w:rtl w:val="0"/>
        </w:rPr>
      </w:r>
    </w:p>
    <w:p w:rsidR="00000000" w:rsidDel="00000000" w:rsidP="00000000" w:rsidRDefault="00000000" w:rsidRPr="00000000" w14:paraId="00000623">
      <w:pPr>
        <w:ind w:right="9"/>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Garantía Única: Para el acto contractual a realizar, en cumplimiento de lo dispuesto en el numeral 19 del artículo 25 de la Ley 80 de 1993, el CONTRATISTA se obliga a constituir dentro de los tres (3) días siguientes a la suscripción del contrato a favor del SERVICIO NACIONAL DE APRENDIZAJE -SENA, mediante cualquiera de los mecanismos de cobertura del riesgo contemplados en el Decreto 1082 de 2015, en cuanto a las obligaciones surgidas del Contrato así: </w:t>
      </w:r>
    </w:p>
    <w:p w:rsidR="00000000" w:rsidDel="00000000" w:rsidP="00000000" w:rsidRDefault="00000000" w:rsidRPr="00000000" w14:paraId="00000624">
      <w:pPr>
        <w:ind w:right="9"/>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25">
      <w:pPr>
        <w:ind w:right="9"/>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a. Cumplimiento del Contrato:</w:t>
      </w:r>
      <w:r w:rsidDel="00000000" w:rsidR="00000000" w:rsidRPr="00000000">
        <w:rPr>
          <w:rFonts w:ascii="Arial" w:cs="Arial" w:eastAsia="Arial" w:hAnsi="Arial"/>
          <w:sz w:val="22"/>
          <w:szCs w:val="22"/>
          <w:rtl w:val="0"/>
        </w:rPr>
        <w:t xml:space="preserve"> Por una suma equivalente al diez por ciento (10%) del valor del contrato con una vigencia igual al plazo del contrato y cuatro (4) meses más a partir de la expedición de la póliza. </w:t>
      </w:r>
    </w:p>
    <w:p w:rsidR="00000000" w:rsidDel="00000000" w:rsidP="00000000" w:rsidRDefault="00000000" w:rsidRPr="00000000" w14:paraId="00000626">
      <w:pPr>
        <w:ind w:right="9"/>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627">
      <w:pPr>
        <w:ind w:right="9"/>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b. Calidad de los bienes:</w:t>
      </w:r>
      <w:r w:rsidDel="00000000" w:rsidR="00000000" w:rsidRPr="00000000">
        <w:rPr>
          <w:rFonts w:ascii="Arial" w:cs="Arial" w:eastAsia="Arial" w:hAnsi="Arial"/>
          <w:sz w:val="22"/>
          <w:szCs w:val="22"/>
          <w:rtl w:val="0"/>
        </w:rPr>
        <w:t xml:space="preserve"> Por una suma equivalente al diez por ciento (10%) del valor del contrato con una vigencia igual al plazo del contrato y cuatro (4) meses más a partir de la expedición de la póliza.</w:t>
      </w:r>
      <w:r w:rsidDel="00000000" w:rsidR="00000000" w:rsidRPr="00000000">
        <w:rPr>
          <w:rtl w:val="0"/>
        </w:rPr>
      </w:r>
    </w:p>
    <w:p w:rsidR="00000000" w:rsidDel="00000000" w:rsidP="00000000" w:rsidRDefault="00000000" w:rsidRPr="00000000" w14:paraId="00000628">
      <w:pPr>
        <w:ind w:right="9"/>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62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20"/>
        </w:tabs>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 todo caso las garantías y sus efectos se regirán por lo establecido en el Decreto 1082 de 2015.</w:t>
      </w:r>
    </w:p>
    <w:p w:rsidR="00000000" w:rsidDel="00000000" w:rsidP="00000000" w:rsidRDefault="00000000" w:rsidRPr="00000000" w14:paraId="0000062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20"/>
        </w:tabs>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2B">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142" w:right="0" w:hanging="360"/>
        <w:jc w:val="both"/>
        <w:rPr>
          <w:rFonts w:ascii="Arial" w:cs="Arial" w:eastAsia="Arial" w:hAnsi="Arial"/>
          <w:i w:val="0"/>
          <w:smallCaps w:val="0"/>
          <w:strike w:val="0"/>
          <w:color w:val="000000"/>
          <w:sz w:val="22"/>
          <w:szCs w:val="22"/>
          <w:highlight w:val="white"/>
          <w:u w:val="none"/>
          <w:vertAlign w:val="baseline"/>
        </w:rPr>
      </w:pPr>
      <w:r w:rsidDel="00000000" w:rsidR="00000000" w:rsidRPr="00000000">
        <w:rPr>
          <w:rFonts w:ascii="Arial" w:cs="Arial" w:eastAsia="Arial" w:hAnsi="Arial"/>
          <w:b w:val="1"/>
          <w:i w:val="0"/>
          <w:smallCaps w:val="0"/>
          <w:strike w:val="0"/>
          <w:color w:val="000000"/>
          <w:sz w:val="22"/>
          <w:szCs w:val="22"/>
          <w:highlight w:val="white"/>
          <w:u w:val="none"/>
          <w:vertAlign w:val="baseline"/>
          <w:rtl w:val="0"/>
        </w:rPr>
        <w:t xml:space="preserve">ACUERDOS COMERCIALES</w:t>
      </w:r>
    </w:p>
    <w:p w:rsidR="00000000" w:rsidDel="00000000" w:rsidP="00000000" w:rsidRDefault="00000000" w:rsidRPr="00000000" w14:paraId="0000062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290"/>
        </w:tabs>
        <w:spacing w:after="0" w:before="0" w:line="240" w:lineRule="auto"/>
        <w:ind w:left="0" w:right="9" w:firstLine="0"/>
        <w:jc w:val="both"/>
        <w:rPr>
          <w:rFonts w:ascii="Arial" w:cs="Arial" w:eastAsia="Arial" w:hAnsi="Arial"/>
          <w:b w:val="0"/>
          <w:i w:val="0"/>
          <w:smallCaps w:val="0"/>
          <w:strike w:val="0"/>
          <w:color w:val="000000"/>
          <w:sz w:val="22"/>
          <w:szCs w:val="22"/>
          <w:highlight w:val="white"/>
          <w:u w:val="none"/>
          <w:vertAlign w:val="baseline"/>
        </w:rPr>
      </w:pPr>
      <w:r w:rsidDel="00000000" w:rsidR="00000000" w:rsidRPr="00000000">
        <w:rPr>
          <w:rtl w:val="0"/>
        </w:rPr>
      </w:r>
    </w:p>
    <w:p w:rsidR="00000000" w:rsidDel="00000000" w:rsidP="00000000" w:rsidRDefault="00000000" w:rsidRPr="00000000" w14:paraId="000006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La Entidad menciona que la presente contratación NO se encuentra cobijada por Acuerdo Internacional o un Tratado de Libre Comercio vigente para el Estado Colombiano en los términos del Decreto 1082 de 2015.</w:t>
      </w:r>
    </w:p>
    <w:p w:rsidR="00000000" w:rsidDel="00000000" w:rsidP="00000000" w:rsidRDefault="00000000" w:rsidRPr="00000000" w14:paraId="0000062E">
      <w:pPr>
        <w:ind w:right="9"/>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62F">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142" w:right="0" w:hanging="36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SUPERVISIÓN: </w:t>
      </w:r>
    </w:p>
    <w:p w:rsidR="00000000" w:rsidDel="00000000" w:rsidP="00000000" w:rsidRDefault="00000000" w:rsidRPr="00000000" w14:paraId="000006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31">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supervisión del presente contrato será ejercida por el funcionario</w:t>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sz w:val="22"/>
          <w:szCs w:val="22"/>
          <w:rtl w:val="0"/>
        </w:rPr>
        <w:t xml:space="preserve">que designe el subdirector, las actividades que desarrollará el supervisor del contrato serán las descritas en la Resolución del SENA No. 202 de 2014, por la cual se adopta el Manual de Supervisión e Interventoría.   </w:t>
      </w:r>
    </w:p>
    <w:p w:rsidR="00000000" w:rsidDel="00000000" w:rsidP="00000000" w:rsidRDefault="00000000" w:rsidRPr="00000000" w14:paraId="00000632">
      <w:pPr>
        <w:tabs>
          <w:tab w:val="left" w:leader="none" w:pos="0"/>
          <w:tab w:val="left" w:leader="none" w:pos="284"/>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633">
      <w:pPr>
        <w:tabs>
          <w:tab w:val="left" w:leader="none" w:pos="0"/>
          <w:tab w:val="left" w:leader="none" w:pos="284"/>
        </w:tabs>
        <w:spacing w:line="276" w:lineRule="auto"/>
        <w:jc w:val="both"/>
        <w:rPr>
          <w:rFonts w:ascii="Arial" w:cs="Arial" w:eastAsia="Arial" w:hAnsi="Arial"/>
        </w:rPr>
      </w:pPr>
      <w:r w:rsidDel="00000000" w:rsidR="00000000" w:rsidRPr="00000000">
        <w:rPr>
          <w:rFonts w:ascii="Arial" w:cs="Arial" w:eastAsia="Arial" w:hAnsi="Arial"/>
          <w:rtl w:val="0"/>
        </w:rPr>
        <w:t xml:space="preserve">Dado en el Espinal, en el mes de junio de 2025.</w:t>
      </w:r>
    </w:p>
    <w:p w:rsidR="00000000" w:rsidDel="00000000" w:rsidP="00000000" w:rsidRDefault="00000000" w:rsidRPr="00000000" w14:paraId="00000634">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5">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Cordialmente,</w:t>
      </w:r>
    </w:p>
    <w:p w:rsidR="00000000" w:rsidDel="00000000" w:rsidP="00000000" w:rsidRDefault="00000000" w:rsidRPr="00000000" w14:paraId="00000636">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7">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8">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9">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A">
      <w:pPr>
        <w:spacing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JOSE OMAR MOREIRA</w:t>
      </w:r>
    </w:p>
    <w:p w:rsidR="00000000" w:rsidDel="00000000" w:rsidP="00000000" w:rsidRDefault="00000000" w:rsidRPr="00000000" w14:paraId="0000063B">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Técnico Grado 92</w:t>
      </w:r>
    </w:p>
    <w:p w:rsidR="00000000" w:rsidDel="00000000" w:rsidP="00000000" w:rsidRDefault="00000000" w:rsidRPr="00000000" w14:paraId="0000063C">
      <w:pPr>
        <w:spacing w:line="276" w:lineRule="auto"/>
        <w:jc w:val="both"/>
        <w:rPr>
          <w:rFonts w:ascii="Arial" w:cs="Arial" w:eastAsia="Arial" w:hAnsi="Arial"/>
          <w:i w:val="1"/>
          <w:sz w:val="22"/>
          <w:szCs w:val="22"/>
        </w:rPr>
      </w:pPr>
      <w:r w:rsidDel="00000000" w:rsidR="00000000" w:rsidRPr="00000000">
        <w:rPr>
          <w:rFonts w:ascii="Arial" w:cs="Arial" w:eastAsia="Arial" w:hAnsi="Arial"/>
          <w:sz w:val="22"/>
          <w:szCs w:val="22"/>
          <w:rtl w:val="0"/>
        </w:rPr>
        <w:t xml:space="preserve">Centro Agropecuario la Granja Espinal</w:t>
        <w:tab/>
        <w:t xml:space="preserve">         </w:t>
      </w:r>
      <w:r w:rsidDel="00000000" w:rsidR="00000000" w:rsidRPr="00000000">
        <w:rPr>
          <w:rtl w:val="0"/>
        </w:rPr>
      </w:r>
    </w:p>
    <w:sectPr>
      <w:type w:val="nextPage"/>
      <w:pgSz w:h="15842" w:w="12242" w:orient="portrait"/>
      <w:pgMar w:bottom="1134" w:top="1701" w:left="1701" w:right="1610" w:header="709" w:footer="22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Georgia"/>
  <w:font w:name="Arial Unicode MS"/>
  <w:font w:name="Times New Roman"/>
  <w:font w:name="Courier New"/>
  <w:font w:name="Aptos Narro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42">
    <w:pPr>
      <w:tabs>
        <w:tab w:val="center" w:leader="none" w:pos="4252"/>
        <w:tab w:val="right" w:leader="none" w:pos="8504"/>
      </w:tabs>
      <w:spacing w:after="200" w:line="276" w:lineRule="auto"/>
      <w:jc w:val="right"/>
      <w:rPr>
        <w:rFonts w:ascii="Calibri" w:cs="Calibri" w:eastAsia="Calibri" w:hAnsi="Calibri"/>
        <w:sz w:val="22"/>
        <w:szCs w:val="22"/>
      </w:rPr>
    </w:pPr>
    <w:r w:rsidDel="00000000" w:rsidR="00000000" w:rsidRPr="00000000">
      <w:rPr>
        <w:rFonts w:ascii="Calibri" w:cs="Calibri" w:eastAsia="Calibri" w:hAnsi="Calibri"/>
        <w:sz w:val="22"/>
        <w:szCs w:val="22"/>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643">
    <w:pPr>
      <w:tabs>
        <w:tab w:val="center" w:leader="none" w:pos="4252"/>
        <w:tab w:val="right" w:leader="none" w:pos="8504"/>
      </w:tabs>
      <w:spacing w:after="200"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DO-F-012 V06</w:t>
    </w:r>
  </w:p>
  <w:p w:rsidR="00000000" w:rsidDel="00000000" w:rsidP="00000000" w:rsidRDefault="00000000" w:rsidRPr="00000000" w14:paraId="00000644">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3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1459230</wp:posOffset>
          </wp:positionH>
          <wp:positionV relativeFrom="paragraph">
            <wp:posOffset>-205103</wp:posOffset>
          </wp:positionV>
          <wp:extent cx="592455" cy="561340"/>
          <wp:effectExtent b="0" l="0" r="0" t="0"/>
          <wp:wrapSquare wrapText="bothSides" distB="0" distT="0" distL="114300" distR="11430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92455" cy="561340"/>
                  </a:xfrm>
                  <a:prstGeom prst="rect"/>
                  <a:ln/>
                </pic:spPr>
              </pic:pic>
            </a:graphicData>
          </a:graphic>
        </wp:anchor>
      </w:drawing>
    </w:r>
  </w:p>
  <w:p w:rsidR="00000000" w:rsidDel="00000000" w:rsidP="00000000" w:rsidRDefault="00000000" w:rsidRPr="00000000" w14:paraId="0000063E">
    <w:pPr>
      <w:rPr/>
    </w:pPr>
    <w:r w:rsidDel="00000000" w:rsidR="00000000" w:rsidRPr="00000000">
      <w:rPr>
        <w:rtl w:val="0"/>
      </w:rPr>
    </w:r>
  </w:p>
  <w:p w:rsidR="00000000" w:rsidDel="00000000" w:rsidP="00000000" w:rsidRDefault="00000000" w:rsidRPr="00000000" w14:paraId="0000063F">
    <w:pPr>
      <w:rPr/>
    </w:pPr>
    <w:r w:rsidDel="00000000" w:rsidR="00000000" w:rsidRPr="00000000">
      <w:rPr>
        <w:rtl w:val="0"/>
      </w:rPr>
    </w:r>
  </w:p>
  <w:p w:rsidR="00000000" w:rsidDel="00000000" w:rsidP="00000000" w:rsidRDefault="00000000" w:rsidRPr="00000000" w14:paraId="00000640">
    <w:pPr>
      <w:rPr/>
    </w:pPr>
    <w:r w:rsidDel="00000000" w:rsidR="00000000" w:rsidRPr="00000000">
      <w:rPr>
        <w:rtl w:val="0"/>
      </w:rPr>
    </w:r>
  </w:p>
  <w:p w:rsidR="00000000" w:rsidDel="00000000" w:rsidP="00000000" w:rsidRDefault="00000000" w:rsidRPr="00000000" w14:paraId="00000641">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2"/>
      <w:numFmt w:val="bullet"/>
      <w:lvlText w:val="-"/>
      <w:lvlJc w:val="left"/>
      <w:pPr>
        <w:ind w:left="720" w:hanging="360"/>
      </w:pPr>
      <w:rPr>
        <w:rFonts w:ascii="Arial" w:cs="Arial" w:eastAsia="Arial" w:hAnsi="Arial"/>
        <w:sz w:val="23"/>
        <w:szCs w:val="23"/>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7"/>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8"/>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
    <w:lvl w:ilvl="0">
      <w:start w:val="9"/>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
    <w:lvl w:ilvl="0">
      <w:start w:val="1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
    <w:lvl w:ilvl="0">
      <w:start w:val="1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
    <w:lvl w:ilvl="0">
      <w:start w:val="1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
    <w:lvl w:ilvl="0">
      <w:start w:val="1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
    <w:lvl w:ilvl="0">
      <w:start w:val="14"/>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
    <w:lvl w:ilvl="0">
      <w:start w:val="15"/>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
    <w:lvl w:ilvl="0">
      <w:start w:val="16"/>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17"/>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3">
    <w:lvl w:ilvl="0">
      <w:start w:val="18"/>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4">
    <w:lvl w:ilvl="0">
      <w:start w:val="19"/>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
    <w:lvl w:ilvl="0">
      <w:start w:val="2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6">
    <w:lvl w:ilvl="0">
      <w:start w:val="2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7">
    <w:lvl w:ilvl="0">
      <w:start w:val="2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8">
    <w:lvl w:ilvl="0">
      <w:start w:val="2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9">
    <w:lvl w:ilvl="0">
      <w:start w:val="24"/>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
    <w:lvl w:ilvl="0">
      <w:start w:val="25"/>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1">
    <w:lvl w:ilvl="0">
      <w:start w:val="26"/>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2">
    <w:lvl w:ilvl="0">
      <w:start w:val="27"/>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3">
    <w:lvl w:ilvl="0">
      <w:start w:val="1"/>
      <w:numFmt w:val="decimal"/>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6">
    <w:lvl w:ilvl="0">
      <w:start w:val="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7">
    <w:lvl w:ilvl="0">
      <w:start w:val="1"/>
      <w:numFmt w:val="decimal"/>
      <w:lvlText w:val="%1."/>
      <w:lvlJc w:val="left"/>
      <w:pPr>
        <w:ind w:left="720" w:hanging="360"/>
      </w:pPr>
      <w:rPr>
        <w:b w:val="0"/>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8">
    <w:lvl w:ilvl="0">
      <w:start w:val="1"/>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9">
    <w:lvl w:ilvl="0">
      <w:start w:val="1"/>
      <w:numFmt w:val="decimal"/>
      <w:lvlText w:val="%1."/>
      <w:lvlJc w:val="left"/>
      <w:pPr>
        <w:ind w:left="786" w:hanging="360.00000000000006"/>
      </w:pPr>
      <w:rPr>
        <w:b w:val="0"/>
        <w:sz w:val="22"/>
        <w:szCs w:val="22"/>
      </w:rPr>
    </w:lvl>
    <w:lvl w:ilvl="1">
      <w:start w:val="1"/>
      <w:numFmt w:val="decimal"/>
      <w:lvlText w:val="%2."/>
      <w:lvlJc w:val="left"/>
      <w:pPr>
        <w:ind w:left="1506" w:hanging="360"/>
      </w:pPr>
      <w:rPr/>
    </w:lvl>
    <w:lvl w:ilvl="2">
      <w:start w:val="1"/>
      <w:numFmt w:val="decimal"/>
      <w:lvlText w:val="%3."/>
      <w:lvlJc w:val="left"/>
      <w:pPr>
        <w:ind w:left="2226" w:hanging="360"/>
      </w:pPr>
      <w:rPr/>
    </w:lvl>
    <w:lvl w:ilvl="3">
      <w:start w:val="1"/>
      <w:numFmt w:val="decimal"/>
      <w:lvlText w:val="%4."/>
      <w:lvlJc w:val="left"/>
      <w:pPr>
        <w:ind w:left="2946" w:hanging="360"/>
      </w:pPr>
      <w:rPr/>
    </w:lvl>
    <w:lvl w:ilvl="4">
      <w:start w:val="1"/>
      <w:numFmt w:val="decimal"/>
      <w:lvlText w:val="%5."/>
      <w:lvlJc w:val="left"/>
      <w:pPr>
        <w:ind w:left="3666" w:hanging="360"/>
      </w:pPr>
      <w:rPr/>
    </w:lvl>
    <w:lvl w:ilvl="5">
      <w:start w:val="1"/>
      <w:numFmt w:val="decimal"/>
      <w:lvlText w:val="%6."/>
      <w:lvlJc w:val="left"/>
      <w:pPr>
        <w:ind w:left="4386" w:hanging="360"/>
      </w:pPr>
      <w:rPr/>
    </w:lvl>
    <w:lvl w:ilvl="6">
      <w:start w:val="1"/>
      <w:numFmt w:val="decimal"/>
      <w:lvlText w:val="%7."/>
      <w:lvlJc w:val="left"/>
      <w:pPr>
        <w:ind w:left="5106" w:hanging="360"/>
      </w:pPr>
      <w:rPr/>
    </w:lvl>
    <w:lvl w:ilvl="7">
      <w:start w:val="1"/>
      <w:numFmt w:val="decimal"/>
      <w:lvlText w:val="%8."/>
      <w:lvlJc w:val="left"/>
      <w:pPr>
        <w:ind w:left="5826" w:hanging="360"/>
      </w:pPr>
      <w:rPr/>
    </w:lvl>
    <w:lvl w:ilvl="8">
      <w:start w:val="1"/>
      <w:numFmt w:val="decimal"/>
      <w:lvlText w:val="%9."/>
      <w:lvlJc w:val="left"/>
      <w:pPr>
        <w:ind w:left="6546" w:hanging="360"/>
      </w:pPr>
      <w:rPr/>
    </w:lvl>
  </w:abstractNum>
  <w:abstractNum w:abstractNumId="30">
    <w:lvl w:ilvl="0">
      <w:start w:val="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1">
    <w:lvl w:ilvl="0">
      <w:start w:val="18"/>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72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3">
    <w:lvl w:ilvl="0">
      <w:start w:val="6"/>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1800" w:hanging="1800"/>
      </w:pPr>
      <w:rPr/>
    </w:lvl>
  </w:abstractNum>
  <w:abstractNum w:abstractNumId="34">
    <w:lvl w:ilvl="0">
      <w:start w:val="4"/>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5">
    <w:lvl w:ilvl="0">
      <w:start w:val="7"/>
      <w:numFmt w:val="decimal"/>
      <w:lvlText w:val="%1"/>
      <w:lvlJc w:val="left"/>
      <w:pPr>
        <w:ind w:left="360" w:hanging="360"/>
      </w:pPr>
      <w:rPr/>
    </w:lvl>
    <w:lvl w:ilvl="1">
      <w:start w:val="1"/>
      <w:numFmt w:val="decimal"/>
      <w:lvlText w:val="%1.%2"/>
      <w:lvlJc w:val="left"/>
      <w:pPr>
        <w:ind w:left="720" w:hanging="360"/>
      </w:pPr>
      <w:rPr/>
    </w:lvl>
    <w:lvl w:ilvl="2">
      <w:start w:val="1"/>
      <w:numFmt w:val="decimal"/>
      <w:lvlText w:val="%1.%2.%3"/>
      <w:lvlJc w:val="left"/>
      <w:pPr>
        <w:ind w:left="1440" w:hanging="720"/>
      </w:pPr>
      <w:rPr/>
    </w:lvl>
    <w:lvl w:ilvl="3">
      <w:start w:val="1"/>
      <w:numFmt w:val="decimal"/>
      <w:lvlText w:val="%1.%2.%3.%4"/>
      <w:lvlJc w:val="left"/>
      <w:pPr>
        <w:ind w:left="2160" w:hanging="1080"/>
      </w:pPr>
      <w:rPr/>
    </w:lvl>
    <w:lvl w:ilvl="4">
      <w:start w:val="1"/>
      <w:numFmt w:val="decimal"/>
      <w:lvlText w:val="%1.%2.%3.%4.%5"/>
      <w:lvlJc w:val="left"/>
      <w:pPr>
        <w:ind w:left="2520" w:hanging="1080"/>
      </w:pPr>
      <w:rPr/>
    </w:lvl>
    <w:lvl w:ilvl="5">
      <w:start w:val="1"/>
      <w:numFmt w:val="decimal"/>
      <w:lvlText w:val="%1.%2.%3.%4.%5.%6"/>
      <w:lvlJc w:val="left"/>
      <w:pPr>
        <w:ind w:left="3240" w:hanging="1440"/>
      </w:pPr>
      <w:rPr/>
    </w:lvl>
    <w:lvl w:ilvl="6">
      <w:start w:val="1"/>
      <w:numFmt w:val="decimal"/>
      <w:lvlText w:val="%1.%2.%3.%4.%5.%6.%7"/>
      <w:lvlJc w:val="left"/>
      <w:pPr>
        <w:ind w:left="3600" w:hanging="1440"/>
      </w:pPr>
      <w:rPr/>
    </w:lvl>
    <w:lvl w:ilvl="7">
      <w:start w:val="1"/>
      <w:numFmt w:val="decimal"/>
      <w:lvlText w:val="%1.%2.%3.%4.%5.%6.%7.%8"/>
      <w:lvlJc w:val="left"/>
      <w:pPr>
        <w:ind w:left="4320" w:hanging="1800"/>
      </w:pPr>
      <w:rPr/>
    </w:lvl>
    <w:lvl w:ilvl="8">
      <w:start w:val="1"/>
      <w:numFmt w:val="decimal"/>
      <w:lvlText w:val="%1.%2.%3.%4.%5.%6.%7.%8.%9"/>
      <w:lvlJc w:val="left"/>
      <w:pPr>
        <w:ind w:left="4680" w:hanging="1800"/>
      </w:pPr>
      <w:rPr/>
    </w:lvl>
  </w:abstractNum>
  <w:abstractNum w:abstractNumId="36">
    <w:lvl w:ilvl="0">
      <w:start w:val="12"/>
      <w:numFmt w:val="decimal"/>
      <w:lvlText w:val="%1"/>
      <w:lvlJc w:val="left"/>
      <w:pPr>
        <w:ind w:left="420" w:hanging="420"/>
      </w:pPr>
      <w:rPr>
        <w:b w:val="1"/>
      </w:rPr>
    </w:lvl>
    <w:lvl w:ilvl="1">
      <w:start w:val="1"/>
      <w:numFmt w:val="decimal"/>
      <w:lvlText w:val="%1.%2"/>
      <w:lvlJc w:val="left"/>
      <w:pPr>
        <w:ind w:left="1200" w:hanging="420"/>
      </w:pPr>
      <w:rPr>
        <w:b w:val="1"/>
      </w:rPr>
    </w:lvl>
    <w:lvl w:ilvl="2">
      <w:start w:val="1"/>
      <w:numFmt w:val="decimal"/>
      <w:lvlText w:val="%1.%2.%3"/>
      <w:lvlJc w:val="left"/>
      <w:pPr>
        <w:ind w:left="2280" w:hanging="720"/>
      </w:pPr>
      <w:rPr>
        <w:b w:val="1"/>
      </w:rPr>
    </w:lvl>
    <w:lvl w:ilvl="3">
      <w:start w:val="1"/>
      <w:numFmt w:val="decimal"/>
      <w:lvlText w:val="%1.%2.%3.%4"/>
      <w:lvlJc w:val="left"/>
      <w:pPr>
        <w:ind w:left="3060" w:hanging="720"/>
      </w:pPr>
      <w:rPr>
        <w:b w:val="1"/>
      </w:rPr>
    </w:lvl>
    <w:lvl w:ilvl="4">
      <w:start w:val="1"/>
      <w:numFmt w:val="decimal"/>
      <w:lvlText w:val="%1.%2.%3.%4.%5"/>
      <w:lvlJc w:val="left"/>
      <w:pPr>
        <w:ind w:left="4200" w:hanging="1080"/>
      </w:pPr>
      <w:rPr>
        <w:b w:val="1"/>
      </w:rPr>
    </w:lvl>
    <w:lvl w:ilvl="5">
      <w:start w:val="1"/>
      <w:numFmt w:val="decimal"/>
      <w:lvlText w:val="%1.%2.%3.%4.%5.%6"/>
      <w:lvlJc w:val="left"/>
      <w:pPr>
        <w:ind w:left="4980" w:hanging="1080"/>
      </w:pPr>
      <w:rPr>
        <w:b w:val="1"/>
      </w:rPr>
    </w:lvl>
    <w:lvl w:ilvl="6">
      <w:start w:val="1"/>
      <w:numFmt w:val="decimal"/>
      <w:lvlText w:val="%1.%2.%3.%4.%5.%6.%7"/>
      <w:lvlJc w:val="left"/>
      <w:pPr>
        <w:ind w:left="6120" w:hanging="1440"/>
      </w:pPr>
      <w:rPr>
        <w:b w:val="1"/>
      </w:rPr>
    </w:lvl>
    <w:lvl w:ilvl="7">
      <w:start w:val="1"/>
      <w:numFmt w:val="decimal"/>
      <w:lvlText w:val="%1.%2.%3.%4.%5.%6.%7.%8"/>
      <w:lvlJc w:val="left"/>
      <w:pPr>
        <w:ind w:left="6900" w:hanging="1440"/>
      </w:pPr>
      <w:rPr>
        <w:b w:val="1"/>
      </w:rPr>
    </w:lvl>
    <w:lvl w:ilvl="8">
      <w:start w:val="1"/>
      <w:numFmt w:val="decimal"/>
      <w:lvlText w:val="%1.%2.%3.%4.%5.%6.%7.%8.%9"/>
      <w:lvlJc w:val="left"/>
      <w:pPr>
        <w:ind w:left="8040" w:hanging="1800"/>
      </w:pPr>
      <w:rPr>
        <w:b w:val="1"/>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5"/>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9">
    <w:lvl w:ilvl="0">
      <w:start w:val="6"/>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spacing w:after="60" w:before="240" w:lineRule="auto"/>
    </w:pPr>
    <w:rPr>
      <w:rFonts w:ascii="Cambria" w:cs="Cambria" w:eastAsia="Cambria" w:hAnsi="Cambria"/>
      <w:b w:val="1"/>
      <w:sz w:val="32"/>
      <w:szCs w:val="32"/>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keepNext w:val="1"/>
      <w:spacing w:before="240" w:line="360" w:lineRule="auto"/>
      <w:ind w:left="720" w:hanging="720"/>
      <w:jc w:val="center"/>
    </w:pPr>
    <w:rPr>
      <w:rFonts w:ascii="Arial" w:cs="Arial" w:eastAsia="Arial" w:hAnsi="Arial"/>
      <w:b w:val="1"/>
      <w:color w:val="000000"/>
      <w:sz w:val="22"/>
      <w:szCs w:val="22"/>
    </w:rPr>
  </w:style>
  <w:style w:type="paragraph" w:styleId="Heading4">
    <w:name w:val="heading 4"/>
    <w:basedOn w:val="Normal"/>
    <w:next w:val="Normal"/>
    <w:pPr>
      <w:keepNext w:val="1"/>
      <w:keepLines w:val="1"/>
      <w:spacing w:before="200" w:lineRule="auto"/>
      <w:ind w:left="864" w:hanging="864"/>
    </w:pPr>
    <w:rPr>
      <w:rFonts w:ascii="Cambria" w:cs="Cambria" w:eastAsia="Cambria" w:hAnsi="Cambria"/>
      <w:b w:val="1"/>
      <w:i w:val="1"/>
      <w:color w:val="4f81bd"/>
    </w:rPr>
  </w:style>
  <w:style w:type="paragraph" w:styleId="Heading5">
    <w:name w:val="heading 5"/>
    <w:basedOn w:val="Normal"/>
    <w:next w:val="Normal"/>
    <w:pPr>
      <w:keepNext w:val="1"/>
      <w:keepLines w:val="1"/>
      <w:spacing w:before="200" w:lineRule="auto"/>
      <w:ind w:left="1008" w:hanging="1008"/>
    </w:pPr>
    <w:rPr>
      <w:rFonts w:ascii="Cambria" w:cs="Cambria" w:eastAsia="Cambria" w:hAnsi="Cambria"/>
      <w:color w:val="243f60"/>
    </w:rPr>
  </w:style>
  <w:style w:type="paragraph" w:styleId="Heading6">
    <w:name w:val="heading 6"/>
    <w:basedOn w:val="Normal"/>
    <w:next w:val="Normal"/>
    <w:pPr>
      <w:keepNext w:val="1"/>
      <w:keepLines w:val="1"/>
      <w:spacing w:before="200" w:lineRule="auto"/>
      <w:ind w:left="1152" w:hanging="1152"/>
    </w:pPr>
    <w:rPr>
      <w:rFonts w:ascii="Cambria" w:cs="Cambria" w:eastAsia="Cambria" w:hAnsi="Cambria"/>
      <w:i w:val="1"/>
      <w:color w:val="243f60"/>
    </w:rPr>
  </w:style>
  <w:style w:type="paragraph" w:styleId="Title">
    <w:name w:val="Title"/>
    <w:basedOn w:val="Normal"/>
    <w:next w:val="Normal"/>
    <w:pPr/>
    <w:rPr>
      <w:rFonts w:ascii="Calibri" w:cs="Calibri" w:eastAsia="Calibri" w:hAnsi="Calibri"/>
      <w:sz w:val="56"/>
      <w:szCs w:val="56"/>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70.0" w:type="dxa"/>
        <w:bottom w:w="0.0" w:type="dxa"/>
        <w:right w:w="70.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70.0" w:type="dxa"/>
        <w:bottom w:w="0.0" w:type="dxa"/>
        <w:right w:w="70.0" w:type="dxa"/>
      </w:tblCellMar>
    </w:tblPr>
  </w:style>
  <w:style w:type="table" w:styleId="Table9">
    <w:basedOn w:val="TableNormal"/>
    <w:tblPr>
      <w:tblStyleRowBandSize w:val="1"/>
      <w:tblStyleColBandSize w:val="1"/>
      <w:tblCellMar>
        <w:top w:w="0.0" w:type="dxa"/>
        <w:left w:w="70.0" w:type="dxa"/>
        <w:bottom w:w="0.0" w:type="dxa"/>
        <w:right w:w="70.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70.0" w:type="dxa"/>
        <w:bottom w:w="0.0" w:type="dxa"/>
        <w:right w:w="70.0" w:type="dxa"/>
      </w:tblCellMar>
    </w:tblPr>
  </w:style>
  <w:style w:type="table" w:styleId="Table14">
    <w:basedOn w:val="TableNormal"/>
    <w:tblPr>
      <w:tblStyleRowBandSize w:val="1"/>
      <w:tblStyleColBandSize w:val="1"/>
      <w:tblCellMar>
        <w:top w:w="0.0" w:type="dxa"/>
        <w:left w:w="70.0" w:type="dxa"/>
        <w:bottom w:w="0.0" w:type="dxa"/>
        <w:right w:w="70.0" w:type="dxa"/>
      </w:tblCellMar>
    </w:tblPr>
  </w:style>
  <w:style w:type="table" w:styleId="Table15">
    <w:basedOn w:val="TableNormal"/>
    <w:tblPr>
      <w:tblStyleRowBandSize w:val="1"/>
      <w:tblStyleColBandSize w:val="1"/>
      <w:tblCellMar>
        <w:top w:w="0.0" w:type="dxa"/>
        <w:left w:w="70.0" w:type="dxa"/>
        <w:bottom w:w="0.0" w:type="dxa"/>
        <w:right w:w="70.0" w:type="dxa"/>
      </w:tblCellMar>
    </w:tblPr>
  </w:style>
  <w:style w:type="table" w:styleId="Table16">
    <w:basedOn w:val="TableNormal"/>
    <w:tblPr>
      <w:tblStyleRowBandSize w:val="1"/>
      <w:tblStyleColBandSize w:val="1"/>
      <w:tblCellMar>
        <w:top w:w="0.0" w:type="dxa"/>
        <w:left w:w="70.0" w:type="dxa"/>
        <w:bottom w:w="0.0" w:type="dxa"/>
        <w:right w:w="70.0" w:type="dxa"/>
      </w:tblCellMar>
    </w:tblPr>
  </w:style>
  <w:style w:type="table" w:styleId="Table17">
    <w:basedOn w:val="TableNormal"/>
    <w:tblPr>
      <w:tblStyleRowBandSize w:val="1"/>
      <w:tblStyleColBandSize w:val="1"/>
      <w:tblCellMar>
        <w:top w:w="0.0" w:type="dxa"/>
        <w:left w:w="70.0" w:type="dxa"/>
        <w:bottom w:w="0.0" w:type="dxa"/>
        <w:right w:w="70.0" w:type="dxa"/>
      </w:tblCellMar>
    </w:tblPr>
  </w:style>
  <w:style w:type="table" w:styleId="Table18">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7.png"/><Relationship Id="rId22" Type="http://schemas.openxmlformats.org/officeDocument/2006/relationships/image" Target="media/image13.png"/><Relationship Id="rId21" Type="http://schemas.openxmlformats.org/officeDocument/2006/relationships/image" Target="media/image25.png"/><Relationship Id="rId24" Type="http://schemas.openxmlformats.org/officeDocument/2006/relationships/image" Target="media/image16.png"/><Relationship Id="rId23"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2.png"/><Relationship Id="rId26" Type="http://schemas.openxmlformats.org/officeDocument/2006/relationships/image" Target="media/image29.png"/><Relationship Id="rId25" Type="http://schemas.openxmlformats.org/officeDocument/2006/relationships/image" Target="media/image19.png"/><Relationship Id="rId28" Type="http://schemas.openxmlformats.org/officeDocument/2006/relationships/image" Target="media/image20.png"/><Relationship Id="rId27" Type="http://schemas.openxmlformats.org/officeDocument/2006/relationships/image" Target="media/image26.png"/><Relationship Id="rId5" Type="http://schemas.openxmlformats.org/officeDocument/2006/relationships/styles" Target="styles.xml"/><Relationship Id="rId6" Type="http://schemas.openxmlformats.org/officeDocument/2006/relationships/image" Target="media/image30.png"/><Relationship Id="rId29" Type="http://schemas.openxmlformats.org/officeDocument/2006/relationships/image" Target="media/image6.png"/><Relationship Id="rId7" Type="http://schemas.openxmlformats.org/officeDocument/2006/relationships/image" Target="media/image3.png"/><Relationship Id="rId8" Type="http://schemas.openxmlformats.org/officeDocument/2006/relationships/image" Target="media/image15.png"/><Relationship Id="rId31" Type="http://schemas.openxmlformats.org/officeDocument/2006/relationships/image" Target="media/image11.png"/><Relationship Id="rId30" Type="http://schemas.openxmlformats.org/officeDocument/2006/relationships/image" Target="media/image14.png"/><Relationship Id="rId11" Type="http://schemas.openxmlformats.org/officeDocument/2006/relationships/hyperlink" Target="https://www.bluradio.com/economia/carf-pide-ajuste-de-46-billones-en-2025-para-regla-fiscal-en-2024-no-se-cumplio-del-todo-so35" TargetMode="External"/><Relationship Id="rId33" Type="http://schemas.openxmlformats.org/officeDocument/2006/relationships/image" Target="media/image17.png"/><Relationship Id="rId10" Type="http://schemas.openxmlformats.org/officeDocument/2006/relationships/image" Target="media/image4.png"/><Relationship Id="rId32" Type="http://schemas.openxmlformats.org/officeDocument/2006/relationships/image" Target="media/image5.png"/><Relationship Id="rId13" Type="http://schemas.openxmlformats.org/officeDocument/2006/relationships/image" Target="media/image23.png"/><Relationship Id="rId35" Type="http://schemas.openxmlformats.org/officeDocument/2006/relationships/header" Target="header1.xml"/><Relationship Id="rId12" Type="http://schemas.openxmlformats.org/officeDocument/2006/relationships/hyperlink" Target="https://www.elcolombiano.com/negocios/cuanto-crecio-la-economia-de-colombia-en-2024-EA26622655" TargetMode="External"/><Relationship Id="rId34" Type="http://schemas.openxmlformats.org/officeDocument/2006/relationships/image" Target="media/image28.png"/><Relationship Id="rId15" Type="http://schemas.openxmlformats.org/officeDocument/2006/relationships/image" Target="media/image10.png"/><Relationship Id="rId37" Type="http://schemas.openxmlformats.org/officeDocument/2006/relationships/image" Target="media/image2.png"/><Relationship Id="rId14" Type="http://schemas.openxmlformats.org/officeDocument/2006/relationships/image" Target="media/image9.png"/><Relationship Id="rId36" Type="http://schemas.openxmlformats.org/officeDocument/2006/relationships/footer" Target="footer1.xml"/><Relationship Id="rId17" Type="http://schemas.openxmlformats.org/officeDocument/2006/relationships/image" Target="media/image18.png"/><Relationship Id="rId16" Type="http://schemas.openxmlformats.org/officeDocument/2006/relationships/image" Target="media/image21.png"/><Relationship Id="rId38" Type="http://schemas.openxmlformats.org/officeDocument/2006/relationships/image" Target="media/image8.png"/><Relationship Id="rId19" Type="http://schemas.openxmlformats.org/officeDocument/2006/relationships/image" Target="media/image24.png"/><Relationship Id="rId18" Type="http://schemas.openxmlformats.org/officeDocument/2006/relationships/image" Target="media/image12.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2025-01-17T15:50:31Z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8f96502f-b0c9-4ee3-96b2-415ddba9c941</vt:lpwstr>
  </property>
  <property fmtid="{D5CDD505-2E9C-101B-9397-08002B2CF9AE}" pid="8" name="MSIP_Label_fc111285-cafa-4fc9-8a9a-bd902089b24f_ContentBits">
    <vt:lpwstr>0</vt:lpwstr>
  </property>
</Properties>
</file>